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hint="eastAsia" w:ascii="方正小标宋简体" w:hAnsi="方正小标宋简体" w:eastAsia="方正小标宋简体" w:cs="方正小标宋简体"/>
          <w:b w:val="0"/>
          <w:bCs w:val="0"/>
          <w:sz w:val="44"/>
          <w:szCs w:val="44"/>
          <w:lang w:val="en-US" w:eastAsia="zh-CN"/>
        </w:rPr>
      </w:pPr>
    </w:p>
    <w:p>
      <w:pPr>
        <w:pStyle w:val="3"/>
        <w:shd w:val="clear" w:color="auto"/>
        <w:spacing w:before="0" w:beforeAutospacing="0" w:after="0" w:afterAutospacing="0" w:line="580" w:lineRule="exact"/>
        <w:jc w:val="center"/>
        <w:rPr>
          <w:rFonts w:hint="eastAsia" w:ascii="宋体" w:hAnsi="宋体" w:eastAsia="宋体" w:cs="宋体"/>
          <w:sz w:val="44"/>
          <w:szCs w:val="44"/>
        </w:rPr>
      </w:pPr>
      <w:r>
        <w:rPr>
          <w:rFonts w:hint="eastAsia" w:ascii="宋体" w:hAnsi="宋体" w:eastAsia="宋体" w:cs="宋体"/>
          <w:sz w:val="44"/>
          <w:szCs w:val="44"/>
        </w:rPr>
        <w:t>关于印发《阜新市推广装配式建筑</w:t>
      </w:r>
    </w:p>
    <w:p>
      <w:pPr>
        <w:pStyle w:val="3"/>
        <w:shd w:val="clear" w:color="auto"/>
        <w:spacing w:before="0" w:beforeAutospacing="0" w:after="0" w:afterAutospacing="0" w:line="580" w:lineRule="exact"/>
        <w:jc w:val="center"/>
        <w:rPr>
          <w:rFonts w:hint="eastAsia" w:ascii="宋体" w:hAnsi="宋体" w:eastAsia="宋体" w:cs="宋体"/>
          <w:sz w:val="36"/>
          <w:szCs w:val="36"/>
        </w:rPr>
      </w:pPr>
      <w:r>
        <w:rPr>
          <w:rFonts w:hint="eastAsia" w:ascii="宋体" w:hAnsi="宋体" w:eastAsia="宋体" w:cs="宋体"/>
          <w:sz w:val="44"/>
          <w:szCs w:val="44"/>
        </w:rPr>
        <w:t>实施细则》的通知</w:t>
      </w:r>
    </w:p>
    <w:p>
      <w:pPr>
        <w:shd w:val="clear"/>
        <w:ind w:firstLine="2880" w:firstLineChars="900"/>
        <w:rPr>
          <w:rFonts w:hint="eastAsia" w:ascii="仿宋_GB2312" w:hAnsi="宋体" w:eastAsia="仿宋_GB2312"/>
          <w:sz w:val="32"/>
          <w:szCs w:val="32"/>
        </w:rPr>
      </w:pPr>
    </w:p>
    <w:p>
      <w:pPr>
        <w:shd w:val="clear"/>
        <w:ind w:firstLine="2880" w:firstLineChars="900"/>
        <w:rPr>
          <w:rFonts w:hint="eastAsia" w:ascii="仿宋_GB2312" w:hAnsi="宋体" w:eastAsia="仿宋_GB2312"/>
          <w:sz w:val="32"/>
          <w:szCs w:val="32"/>
        </w:rPr>
      </w:pPr>
      <w:bookmarkStart w:id="3" w:name="_GoBack"/>
      <w:r>
        <w:rPr>
          <w:rFonts w:hint="eastAsia" w:ascii="仿宋_GB2312" w:hAnsi="宋体" w:eastAsia="仿宋_GB2312"/>
          <w:sz w:val="32"/>
          <w:szCs w:val="32"/>
        </w:rPr>
        <w:t>阜住建发</w:t>
      </w:r>
      <w:bookmarkStart w:id="0" w:name="_Hlk520098832"/>
      <w:bookmarkStart w:id="1" w:name="_Hlk520185352"/>
      <w:r>
        <w:rPr>
          <w:rFonts w:hint="eastAsia" w:ascii="仿宋_GB2312" w:hAnsi="宋体" w:eastAsia="仿宋_GB2312"/>
          <w:sz w:val="32"/>
          <w:szCs w:val="32"/>
        </w:rPr>
        <w:t>〔</w:t>
      </w:r>
      <w:bookmarkEnd w:id="0"/>
      <w:r>
        <w:rPr>
          <w:rFonts w:hint="eastAsia" w:ascii="仿宋_GB2312" w:hAnsi="宋体" w:eastAsia="仿宋_GB2312"/>
          <w:sz w:val="32"/>
          <w:szCs w:val="32"/>
        </w:rPr>
        <w:t>201</w:t>
      </w:r>
      <w:r>
        <w:rPr>
          <w:rFonts w:ascii="仿宋_GB2312" w:hAnsi="宋体" w:eastAsia="仿宋_GB2312"/>
          <w:sz w:val="32"/>
          <w:szCs w:val="32"/>
        </w:rPr>
        <w:t>8</w:t>
      </w:r>
      <w:bookmarkStart w:id="2" w:name="_Hlk520098851"/>
      <w:r>
        <w:rPr>
          <w:rFonts w:hint="eastAsia" w:ascii="仿宋_GB2312" w:hAnsi="宋体" w:eastAsia="仿宋_GB2312"/>
          <w:sz w:val="32"/>
          <w:szCs w:val="32"/>
        </w:rPr>
        <w:t>〕</w:t>
      </w:r>
      <w:bookmarkEnd w:id="1"/>
      <w:bookmarkEnd w:id="2"/>
      <w:r>
        <w:rPr>
          <w:rFonts w:ascii="仿宋_GB2312" w:hAnsi="宋体" w:eastAsia="仿宋_GB2312"/>
          <w:sz w:val="32"/>
          <w:szCs w:val="32"/>
        </w:rPr>
        <w:t>135号</w:t>
      </w:r>
    </w:p>
    <w:bookmarkEnd w:id="3"/>
    <w:p>
      <w:pPr>
        <w:shd w:val="clear"/>
        <w:jc w:val="center"/>
        <w:rPr>
          <w:rFonts w:hint="eastAsia" w:ascii="宋体" w:hAnsi="宋体"/>
          <w:b/>
          <w:sz w:val="10"/>
          <w:szCs w:val="10"/>
        </w:rPr>
      </w:pPr>
    </w:p>
    <w:p>
      <w:pPr>
        <w:shd w:val="clear"/>
        <w:spacing w:line="480" w:lineRule="auto"/>
        <w:rPr>
          <w:rFonts w:hint="eastAsia" w:ascii="仿宋_GB2312" w:hAnsi="仿宋" w:eastAsia="仿宋_GB2312"/>
          <w:sz w:val="32"/>
          <w:szCs w:val="32"/>
        </w:rPr>
      </w:pPr>
      <w:r>
        <w:rPr>
          <w:rFonts w:hint="eastAsia" w:ascii="仿宋_GB2312" w:hAnsi="仿宋" w:eastAsia="仿宋_GB2312"/>
          <w:sz w:val="32"/>
          <w:szCs w:val="32"/>
        </w:rPr>
        <w:t>各县、区住建局，各开发建设、设计、施工、监理、装配式部品部件生产企业，施工图审查单位：</w:t>
      </w:r>
    </w:p>
    <w:p>
      <w:pPr>
        <w:widowControl/>
        <w:shd w:val="clear" w:color="auto"/>
        <w:spacing w:line="480" w:lineRule="auto"/>
        <w:ind w:firstLine="640" w:firstLineChars="200"/>
        <w:outlineLvl w:val="0"/>
        <w:rPr>
          <w:rFonts w:hint="eastAsia" w:ascii="仿宋_GB2312" w:hAnsi="仿宋" w:eastAsia="仿宋_GB2312" w:cs="宋体"/>
          <w:bCs/>
          <w:kern w:val="36"/>
          <w:sz w:val="32"/>
          <w:szCs w:val="32"/>
          <w:shd w:val="clear" w:color="auto" w:fill="FFFFFF"/>
        </w:rPr>
      </w:pPr>
      <w:r>
        <w:rPr>
          <w:rFonts w:hint="eastAsia" w:ascii="仿宋_GB2312" w:hAnsi="仿宋" w:eastAsia="仿宋_GB2312" w:cs="宋体"/>
          <w:bCs/>
          <w:kern w:val="36"/>
          <w:sz w:val="32"/>
          <w:szCs w:val="32"/>
          <w:shd w:val="clear" w:color="auto" w:fill="FFFFFF"/>
        </w:rPr>
        <w:t>为贯彻落实</w:t>
      </w:r>
      <w:r>
        <w:rPr>
          <w:rFonts w:hint="eastAsia" w:ascii="仿宋_GB2312" w:hAnsi="仿宋" w:eastAsia="仿宋_GB2312" w:cs="宋体"/>
          <w:bCs/>
          <w:kern w:val="36"/>
          <w:sz w:val="32"/>
          <w:szCs w:val="32"/>
        </w:rPr>
        <w:t>《阜新市人民政府办公室关于大力发展装配式建筑的实施意见》（阜政办发〔2017〕63号）、《阜新市人民政府办公室关于阜新市加快推进装配式建筑发展的实施意见》（阜政办发〔2018〕81号）、市住建委《关于新建建筑执行节能率75%设计标准推广装配式及砌筑保温一体化建筑的通知》（阜住建发〔2017〕189号）等文件精神</w:t>
      </w:r>
      <w:r>
        <w:rPr>
          <w:rFonts w:hint="eastAsia" w:ascii="仿宋_GB2312" w:hAnsi="仿宋" w:eastAsia="仿宋_GB2312" w:cs="宋体"/>
          <w:bCs/>
          <w:kern w:val="36"/>
          <w:sz w:val="32"/>
          <w:szCs w:val="32"/>
          <w:shd w:val="clear" w:color="auto" w:fill="FFFFFF"/>
        </w:rPr>
        <w:t>，明确指标含义及落实各方主体责任，落实国务院及省政府装配率指标要求，稳步</w:t>
      </w:r>
      <w:r>
        <w:rPr>
          <w:rFonts w:hint="eastAsia" w:ascii="仿宋_GB2312" w:hAnsi="仿宋" w:eastAsia="仿宋_GB2312" w:cs="宋体"/>
          <w:bCs/>
          <w:spacing w:val="-4"/>
          <w:kern w:val="36"/>
          <w:sz w:val="32"/>
          <w:szCs w:val="32"/>
        </w:rPr>
        <w:t>推进我市装配式建筑向纵深发展，规范和加强</w:t>
      </w:r>
      <w:r>
        <w:rPr>
          <w:rFonts w:hint="eastAsia" w:ascii="仿宋_GB2312" w:hAnsi="仿宋" w:eastAsia="仿宋_GB2312" w:cs="宋体"/>
          <w:bCs/>
          <w:kern w:val="36"/>
          <w:sz w:val="32"/>
          <w:szCs w:val="32"/>
          <w:shd w:val="clear" w:color="auto" w:fill="FFFFFF"/>
        </w:rPr>
        <w:t>装配式建筑工程</w:t>
      </w:r>
      <w:r>
        <w:rPr>
          <w:rFonts w:hint="eastAsia" w:ascii="仿宋_GB2312" w:hAnsi="仿宋" w:eastAsia="仿宋_GB2312" w:cs="宋体"/>
          <w:bCs/>
          <w:color w:val="000000"/>
          <w:kern w:val="36"/>
          <w:sz w:val="32"/>
          <w:szCs w:val="32"/>
          <w:shd w:val="clear" w:color="auto" w:fill="FFFFFF"/>
        </w:rPr>
        <w:t>项目设计</w:t>
      </w:r>
      <w:r>
        <w:rPr>
          <w:rFonts w:hint="eastAsia" w:ascii="仿宋_GB2312" w:hAnsi="仿宋" w:eastAsia="仿宋_GB2312" w:cs="宋体"/>
          <w:bCs/>
          <w:kern w:val="36"/>
          <w:sz w:val="32"/>
          <w:szCs w:val="32"/>
          <w:shd w:val="clear" w:color="auto" w:fill="FFFFFF"/>
        </w:rPr>
        <w:t>、部品部件</w:t>
      </w:r>
      <w:r>
        <w:rPr>
          <w:rFonts w:hint="eastAsia" w:ascii="仿宋_GB2312" w:hAnsi="仿宋" w:eastAsia="仿宋_GB2312" w:cs="宋体"/>
          <w:bCs/>
          <w:color w:val="000000"/>
          <w:kern w:val="36"/>
          <w:sz w:val="32"/>
          <w:szCs w:val="32"/>
          <w:shd w:val="clear" w:color="auto" w:fill="FFFFFF"/>
        </w:rPr>
        <w:t>生产、</w:t>
      </w:r>
      <w:r>
        <w:rPr>
          <w:rFonts w:hint="eastAsia" w:ascii="仿宋_GB2312" w:hAnsi="仿宋" w:eastAsia="仿宋_GB2312" w:cs="宋体"/>
          <w:bCs/>
          <w:kern w:val="36"/>
          <w:sz w:val="32"/>
          <w:szCs w:val="32"/>
          <w:shd w:val="clear" w:color="auto" w:fill="FFFFFF"/>
        </w:rPr>
        <w:t>施工、竣工验收阶段的管理，</w:t>
      </w:r>
      <w:r>
        <w:rPr>
          <w:rFonts w:hint="eastAsia" w:ascii="仿宋_GB2312" w:hAnsi="仿宋" w:eastAsia="仿宋_GB2312" w:cs="宋体"/>
          <w:bCs/>
          <w:spacing w:val="-4"/>
          <w:kern w:val="36"/>
          <w:sz w:val="32"/>
          <w:szCs w:val="32"/>
        </w:rPr>
        <w:t>保证装配式建筑的工程质量和安全，</w:t>
      </w:r>
      <w:r>
        <w:rPr>
          <w:rFonts w:hint="eastAsia" w:ascii="仿宋_GB2312" w:hAnsi="仿宋" w:eastAsia="仿宋_GB2312" w:cs="宋体"/>
          <w:bCs/>
          <w:kern w:val="36"/>
          <w:sz w:val="32"/>
          <w:szCs w:val="32"/>
          <w:shd w:val="clear" w:color="auto" w:fill="FFFFFF"/>
        </w:rPr>
        <w:t>特制定《</w:t>
      </w:r>
      <w:r>
        <w:rPr>
          <w:rFonts w:hint="eastAsia" w:ascii="仿宋_GB2312" w:hAnsi="仿宋" w:eastAsia="仿宋_GB2312" w:cs="Arial"/>
          <w:bCs/>
          <w:kern w:val="36"/>
          <w:sz w:val="32"/>
          <w:szCs w:val="32"/>
        </w:rPr>
        <w:t>阜新市推广装配式建筑实施细则</w:t>
      </w:r>
      <w:r>
        <w:rPr>
          <w:rFonts w:hint="eastAsia" w:ascii="仿宋_GB2312" w:hAnsi="仿宋" w:eastAsia="仿宋_GB2312" w:cs="宋体"/>
          <w:bCs/>
          <w:kern w:val="36"/>
          <w:sz w:val="32"/>
          <w:szCs w:val="32"/>
          <w:shd w:val="clear" w:color="auto" w:fill="FFFFFF"/>
        </w:rPr>
        <w:t>》，现予以发布，具体工作按此细则实施。</w:t>
      </w:r>
    </w:p>
    <w:p>
      <w:pPr>
        <w:widowControl/>
        <w:shd w:val="clear" w:color="auto"/>
        <w:spacing w:line="480" w:lineRule="auto"/>
        <w:ind w:firstLine="640" w:firstLineChars="200"/>
        <w:outlineLvl w:val="0"/>
        <w:rPr>
          <w:rFonts w:hint="eastAsia" w:ascii="仿宋_GB2312" w:hAnsi="仿宋" w:eastAsia="仿宋_GB2312" w:cs="宋体"/>
          <w:bCs/>
          <w:kern w:val="36"/>
          <w:sz w:val="32"/>
          <w:szCs w:val="32"/>
          <w:shd w:val="clear" w:color="auto" w:fill="FFFFFF"/>
        </w:rPr>
      </w:pPr>
      <w:r>
        <w:rPr>
          <w:rFonts w:hint="eastAsia" w:ascii="仿宋_GB2312" w:hAnsi="仿宋" w:eastAsia="仿宋_GB2312" w:cs="宋体"/>
          <w:bCs/>
          <w:kern w:val="36"/>
          <w:sz w:val="32"/>
          <w:szCs w:val="32"/>
          <w:shd w:val="clear" w:color="auto" w:fill="FFFFFF"/>
        </w:rPr>
        <w:t>请遵照执行。</w:t>
      </w:r>
    </w:p>
    <w:p>
      <w:pPr>
        <w:shd w:val="clear"/>
        <w:rPr>
          <w:rFonts w:hint="eastAsia" w:ascii="仿宋_GB2312" w:eastAsia="仿宋_GB2312"/>
          <w:sz w:val="32"/>
          <w:szCs w:val="32"/>
        </w:rPr>
      </w:pPr>
    </w:p>
    <w:p>
      <w:pPr>
        <w:pStyle w:val="9"/>
        <w:shd w:val="clear"/>
        <w:ind w:left="0" w:leftChars="0" w:firstLine="0" w:firstLineChars="0"/>
        <w:jc w:val="right"/>
        <w:rPr>
          <w:rFonts w:hint="eastAsia" w:ascii="仿宋_GB2312" w:hAnsi="仿宋" w:eastAsia="仿宋_GB2312"/>
          <w:sz w:val="32"/>
          <w:szCs w:val="32"/>
        </w:rPr>
      </w:pPr>
      <w:r>
        <w:rPr>
          <w:rFonts w:hint="eastAsia" w:ascii="仿宋_GB2312" w:hAnsi="仿宋" w:eastAsia="仿宋_GB2312"/>
          <w:sz w:val="32"/>
          <w:szCs w:val="32"/>
        </w:rPr>
        <w:t>阜新市住房和城乡建设委员会</w:t>
      </w:r>
    </w:p>
    <w:p>
      <w:pPr>
        <w:pStyle w:val="9"/>
        <w:shd w:val="clear"/>
        <w:ind w:firstLine="0" w:firstLineChars="0"/>
        <w:jc w:val="right"/>
        <w:rPr>
          <w:rFonts w:hint="eastAsia" w:ascii="仿宋_GB2312" w:hAnsi="仿宋" w:eastAsia="仿宋_GB2312"/>
          <w:sz w:val="32"/>
          <w:szCs w:val="32"/>
        </w:rPr>
      </w:pPr>
      <w:r>
        <w:rPr>
          <w:rFonts w:hint="eastAsia" w:ascii="仿宋_GB2312" w:hAnsi="仿宋" w:eastAsia="仿宋_GB2312"/>
          <w:sz w:val="32"/>
          <w:szCs w:val="32"/>
        </w:rPr>
        <w:t xml:space="preserve">                               2018年8月6日</w:t>
      </w:r>
    </w:p>
    <w:p>
      <w:pPr>
        <w:shd w:val="clear"/>
        <w:rPr>
          <w:rFonts w:hint="eastAsia" w:ascii="仿宋_GB2312" w:eastAsia="仿宋_GB2312"/>
          <w:sz w:val="32"/>
          <w:szCs w:val="32"/>
        </w:rPr>
      </w:pPr>
    </w:p>
    <w:p>
      <w:pPr>
        <w:widowControl/>
        <w:shd w:val="clear" w:color="auto"/>
        <w:spacing w:line="580" w:lineRule="exact"/>
        <w:ind w:firstLine="640" w:firstLineChars="200"/>
        <w:jc w:val="left"/>
        <w:outlineLvl w:val="0"/>
        <w:rPr>
          <w:rFonts w:hint="eastAsia" w:ascii="仿宋_GB2312" w:hAnsi="Arial" w:eastAsia="仿宋_GB2312" w:cs="Arial"/>
          <w:bCs/>
          <w:kern w:val="36"/>
          <w:sz w:val="32"/>
          <w:szCs w:val="32"/>
          <w:lang w:val="en-US" w:eastAsia="zh-CN"/>
        </w:rPr>
      </w:pPr>
      <w:r>
        <w:rPr>
          <w:rFonts w:hint="eastAsia" w:ascii="仿宋_GB2312" w:hAnsi="Arial" w:eastAsia="仿宋_GB2312" w:cs="Arial"/>
          <w:bCs/>
          <w:kern w:val="36"/>
          <w:sz w:val="32"/>
          <w:szCs w:val="32"/>
          <w:lang w:val="en-US" w:eastAsia="zh-CN"/>
        </w:rPr>
        <w:t>（此件公开发布）</w:t>
      </w: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left"/>
        <w:outlineLvl w:val="0"/>
        <w:rPr>
          <w:rFonts w:hint="eastAsia" w:ascii="仿宋_GB2312" w:hAnsi="Arial" w:eastAsia="仿宋_GB2312" w:cs="Arial"/>
          <w:bCs/>
          <w:kern w:val="36"/>
          <w:sz w:val="32"/>
          <w:szCs w:val="32"/>
        </w:rPr>
      </w:pPr>
    </w:p>
    <w:p>
      <w:pPr>
        <w:widowControl/>
        <w:shd w:val="clear" w:color="auto"/>
        <w:spacing w:line="580" w:lineRule="exact"/>
        <w:jc w:val="center"/>
        <w:outlineLvl w:val="0"/>
        <w:rPr>
          <w:rFonts w:hint="eastAsia" w:ascii="宋体" w:hAnsi="宋体" w:cs="Arial"/>
          <w:b/>
          <w:bCs/>
          <w:kern w:val="36"/>
          <w:sz w:val="44"/>
          <w:szCs w:val="44"/>
        </w:rPr>
      </w:pPr>
    </w:p>
    <w:p>
      <w:pPr>
        <w:widowControl/>
        <w:shd w:val="clear" w:color="auto"/>
        <w:spacing w:line="580" w:lineRule="exact"/>
        <w:jc w:val="center"/>
        <w:outlineLvl w:val="0"/>
        <w:rPr>
          <w:rFonts w:hint="eastAsia" w:ascii="宋体" w:hAnsi="宋体" w:cs="Arial"/>
          <w:b/>
          <w:bCs/>
          <w:kern w:val="36"/>
          <w:sz w:val="44"/>
          <w:szCs w:val="44"/>
        </w:rPr>
      </w:pPr>
    </w:p>
    <w:p>
      <w:pPr>
        <w:widowControl/>
        <w:shd w:val="clear" w:color="auto"/>
        <w:spacing w:line="580" w:lineRule="exact"/>
        <w:jc w:val="center"/>
        <w:outlineLvl w:val="0"/>
        <w:rPr>
          <w:rFonts w:hint="eastAsia" w:ascii="宋体" w:hAnsi="宋体" w:cs="Arial"/>
          <w:b/>
          <w:bCs/>
          <w:kern w:val="36"/>
          <w:sz w:val="44"/>
          <w:szCs w:val="44"/>
        </w:rPr>
      </w:pPr>
    </w:p>
    <w:p>
      <w:pPr>
        <w:widowControl/>
        <w:shd w:val="clear" w:color="auto"/>
        <w:spacing w:line="580" w:lineRule="exact"/>
        <w:jc w:val="center"/>
        <w:outlineLvl w:val="0"/>
        <w:rPr>
          <w:rFonts w:hint="eastAsia" w:ascii="宋体" w:hAnsi="宋体" w:eastAsia="宋体" w:cs="宋体"/>
          <w:b/>
          <w:bCs/>
          <w:kern w:val="36"/>
          <w:sz w:val="44"/>
          <w:szCs w:val="44"/>
        </w:rPr>
      </w:pPr>
      <w:r>
        <w:rPr>
          <w:rFonts w:hint="eastAsia" w:ascii="宋体" w:hAnsi="宋体" w:eastAsia="宋体" w:cs="宋体"/>
          <w:b/>
          <w:bCs/>
          <w:kern w:val="36"/>
          <w:sz w:val="44"/>
          <w:szCs w:val="44"/>
        </w:rPr>
        <w:t>阜新市推广装配式建筑实施细则</w:t>
      </w:r>
    </w:p>
    <w:p>
      <w:pPr>
        <w:widowControl/>
        <w:shd w:val="clear" w:color="auto"/>
        <w:spacing w:line="580" w:lineRule="exact"/>
        <w:ind w:firstLine="321" w:firstLineChars="100"/>
        <w:jc w:val="center"/>
        <w:outlineLvl w:val="0"/>
        <w:rPr>
          <w:rFonts w:hint="eastAsia" w:ascii="仿宋_GB2312" w:hAnsi="宋体" w:eastAsia="仿宋_GB2312" w:cs="宋体"/>
          <w:b/>
          <w:bCs/>
          <w:kern w:val="36"/>
          <w:sz w:val="32"/>
          <w:szCs w:val="32"/>
          <w:shd w:val="clear" w:color="auto" w:fill="FFFFFF"/>
        </w:rPr>
      </w:pPr>
    </w:p>
    <w:p>
      <w:pPr>
        <w:keepNext w:val="0"/>
        <w:keepLines w:val="0"/>
        <w:pageBreakBefore w:val="0"/>
        <w:widowControl/>
        <w:shd w:val="clear" w:color="auto"/>
        <w:kinsoku/>
        <w:wordWrap/>
        <w:overflowPunct/>
        <w:topLinePunct w:val="0"/>
        <w:autoSpaceDE/>
        <w:autoSpaceDN/>
        <w:bidi w:val="0"/>
        <w:adjustRightInd/>
        <w:snapToGrid/>
        <w:spacing w:line="580" w:lineRule="atLeast"/>
        <w:ind w:firstLine="643" w:firstLineChars="200"/>
        <w:textAlignment w:val="auto"/>
        <w:outlineLvl w:val="0"/>
        <w:rPr>
          <w:rFonts w:hint="eastAsia" w:ascii="仿宋_GB2312" w:hAnsi="仿宋" w:eastAsia="仿宋_GB2312" w:cs="宋体"/>
          <w:bCs/>
          <w:kern w:val="36"/>
          <w:sz w:val="32"/>
          <w:szCs w:val="32"/>
          <w:shd w:val="clear" w:color="auto" w:fill="FFFFFF"/>
        </w:rPr>
      </w:pPr>
      <w:r>
        <w:rPr>
          <w:rFonts w:hint="eastAsia" w:ascii="仿宋_GB2312" w:hAnsi="仿宋" w:eastAsia="仿宋_GB2312" w:cs="宋体"/>
          <w:b/>
          <w:bCs w:val="0"/>
          <w:kern w:val="36"/>
          <w:sz w:val="32"/>
          <w:szCs w:val="32"/>
          <w:shd w:val="clear" w:color="auto" w:fill="FFFFFF"/>
        </w:rPr>
        <w:t>第一条</w:t>
      </w:r>
      <w:r>
        <w:rPr>
          <w:rFonts w:hint="eastAsia" w:ascii="仿宋_GB2312" w:hAnsi="仿宋" w:eastAsia="仿宋_GB2312" w:cs="宋体"/>
          <w:bCs/>
          <w:kern w:val="36"/>
          <w:sz w:val="32"/>
          <w:szCs w:val="32"/>
          <w:shd w:val="clear" w:color="auto" w:fill="FFFFFF"/>
        </w:rPr>
        <w:t xml:space="preserve">  为加</w:t>
      </w:r>
      <w:r>
        <w:rPr>
          <w:rFonts w:hint="eastAsia" w:ascii="仿宋_GB2312" w:hAnsi="仿宋" w:eastAsia="仿宋_GB2312" w:cs="宋体"/>
          <w:bCs/>
          <w:spacing w:val="-4"/>
          <w:kern w:val="36"/>
          <w:sz w:val="32"/>
          <w:szCs w:val="32"/>
        </w:rPr>
        <w:t>强</w:t>
      </w:r>
      <w:r>
        <w:rPr>
          <w:rFonts w:hint="eastAsia" w:ascii="仿宋_GB2312" w:hAnsi="仿宋" w:eastAsia="仿宋_GB2312" w:cs="宋体"/>
          <w:bCs/>
          <w:kern w:val="36"/>
          <w:sz w:val="32"/>
          <w:szCs w:val="32"/>
          <w:shd w:val="clear" w:color="auto" w:fill="FFFFFF"/>
        </w:rPr>
        <w:t>装配式建筑工程</w:t>
      </w:r>
      <w:r>
        <w:rPr>
          <w:rFonts w:hint="eastAsia" w:ascii="仿宋_GB2312" w:hAnsi="仿宋" w:eastAsia="仿宋_GB2312" w:cs="宋体"/>
          <w:bCs/>
          <w:color w:val="000000"/>
          <w:kern w:val="36"/>
          <w:sz w:val="32"/>
          <w:szCs w:val="32"/>
          <w:shd w:val="clear" w:color="auto" w:fill="FFFFFF"/>
        </w:rPr>
        <w:t>管理，</w:t>
      </w:r>
      <w:r>
        <w:rPr>
          <w:rFonts w:hint="eastAsia" w:ascii="仿宋_GB2312" w:hAnsi="仿宋" w:eastAsia="仿宋_GB2312" w:cs="宋体"/>
          <w:bCs/>
          <w:color w:val="000000"/>
          <w:spacing w:val="-4"/>
          <w:kern w:val="36"/>
          <w:sz w:val="32"/>
          <w:szCs w:val="32"/>
        </w:rPr>
        <w:t>保证装配式建筑</w:t>
      </w:r>
      <w:r>
        <w:rPr>
          <w:rFonts w:hint="eastAsia" w:ascii="仿宋_GB2312" w:hAnsi="仿宋" w:eastAsia="仿宋_GB2312" w:cs="宋体"/>
          <w:bCs/>
          <w:spacing w:val="-4"/>
          <w:kern w:val="36"/>
          <w:sz w:val="32"/>
          <w:szCs w:val="32"/>
        </w:rPr>
        <w:t>的</w:t>
      </w:r>
      <w:r>
        <w:rPr>
          <w:rFonts w:hint="eastAsia" w:ascii="仿宋_GB2312" w:hAnsi="仿宋" w:eastAsia="仿宋_GB2312" w:cs="宋体"/>
          <w:bCs/>
          <w:kern w:val="36"/>
          <w:sz w:val="32"/>
          <w:szCs w:val="32"/>
          <w:shd w:val="clear" w:color="auto" w:fill="FFFFFF"/>
        </w:rPr>
        <w:t>工程质量和安全，根据相关法律法规及标准规定，结合本市实际，明确相关指标及工作落实，制定本细则。</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第二条</w:t>
      </w:r>
      <w:r>
        <w:rPr>
          <w:rFonts w:hint="eastAsia" w:ascii="仿宋_GB2312" w:hAnsi="仿宋" w:eastAsia="仿宋_GB2312" w:cs="黑体"/>
          <w:sz w:val="32"/>
          <w:szCs w:val="32"/>
        </w:rPr>
        <w:t xml:space="preserve">  </w:t>
      </w:r>
      <w:r>
        <w:rPr>
          <w:rFonts w:hint="eastAsia" w:ascii="仿宋_GB2312" w:hAnsi="仿宋" w:eastAsia="仿宋_GB2312" w:cs="宋体"/>
          <w:sz w:val="32"/>
          <w:szCs w:val="32"/>
        </w:rPr>
        <w:t>本细则所称</w:t>
      </w:r>
      <w:r>
        <w:rPr>
          <w:rFonts w:hint="eastAsia" w:ascii="仿宋_GB2312" w:hAnsi="仿宋" w:eastAsia="仿宋_GB2312" w:cs="黑体"/>
          <w:sz w:val="32"/>
          <w:szCs w:val="32"/>
        </w:rPr>
        <w:t>装配式建筑</w:t>
      </w:r>
      <w:r>
        <w:rPr>
          <w:rFonts w:hint="eastAsia" w:ascii="仿宋_GB2312" w:hAnsi="仿宋" w:eastAsia="仿宋_GB2312" w:cs="宋体"/>
          <w:sz w:val="32"/>
          <w:szCs w:val="32"/>
        </w:rPr>
        <w:t>，是指由预制部品部件在工地装配而成的建筑（根据《装配式建筑评价标准》GBT51129-2017）。</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第三条</w:t>
      </w:r>
      <w:r>
        <w:rPr>
          <w:rFonts w:hint="eastAsia" w:ascii="仿宋_GB2312" w:hAnsi="仿宋" w:eastAsia="仿宋_GB2312" w:cs="黑体"/>
          <w:sz w:val="32"/>
          <w:szCs w:val="32"/>
        </w:rPr>
        <w:t xml:space="preserve">  </w:t>
      </w:r>
      <w:r>
        <w:rPr>
          <w:rFonts w:hint="eastAsia" w:ascii="仿宋_GB2312" w:hAnsi="仿宋" w:eastAsia="仿宋_GB2312" w:cs="宋体"/>
          <w:bCs/>
          <w:kern w:val="36"/>
          <w:sz w:val="32"/>
          <w:szCs w:val="32"/>
          <w:shd w:val="clear" w:color="auto" w:fill="FFFFFF"/>
        </w:rPr>
        <w:t>自</w:t>
      </w:r>
      <w:r>
        <w:rPr>
          <w:rFonts w:hint="eastAsia" w:ascii="仿宋_GB2312" w:hAnsi="仿宋" w:eastAsia="仿宋_GB2312" w:cs="黑体"/>
          <w:sz w:val="32"/>
          <w:szCs w:val="32"/>
        </w:rPr>
        <w:t xml:space="preserve"> 2018年1月1日开始，凡阜新行政区域政府性投资及国有企业投资主导的建筑工程及公益性建筑、公共建筑项目、工业建筑工程；社会资金投资建设的居住建筑的多层住宅和商业性公益建筑及小城镇建设项目，建筑主体结构装配化率不低于10%。</w:t>
      </w:r>
    </w:p>
    <w:p>
      <w:pPr>
        <w:keepNext w:val="0"/>
        <w:keepLines w:val="0"/>
        <w:pageBreakBefore w:val="0"/>
        <w:shd w:val="clear"/>
        <w:kinsoku/>
        <w:wordWrap/>
        <w:overflowPunct/>
        <w:topLinePunct w:val="0"/>
        <w:autoSpaceDE/>
        <w:autoSpaceDN/>
        <w:bidi w:val="0"/>
        <w:adjustRightInd/>
        <w:snapToGrid/>
        <w:spacing w:line="580" w:lineRule="atLeast"/>
        <w:ind w:firstLine="641"/>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第四条</w:t>
      </w:r>
      <w:r>
        <w:rPr>
          <w:rFonts w:hint="eastAsia" w:ascii="仿宋_GB2312" w:hAnsi="仿宋" w:eastAsia="仿宋_GB2312" w:cs="宋体"/>
          <w:color w:val="000000"/>
          <w:sz w:val="32"/>
          <w:szCs w:val="32"/>
        </w:rPr>
        <w:t xml:space="preserve">  市、县、区各级建设行政主管部门须</w:t>
      </w:r>
      <w:r>
        <w:rPr>
          <w:rFonts w:hint="eastAsia" w:ascii="仿宋_GB2312" w:hAnsi="仿宋" w:eastAsia="仿宋_GB2312" w:cs="黑体"/>
          <w:sz w:val="32"/>
          <w:szCs w:val="32"/>
        </w:rPr>
        <w:t>加强装配式建筑工程监管,对我市装配式建筑工程项目，在施工图审查、施工许可、质量安全监督、竣工验收备案等环节，增加装配式建筑监管专项内容，按相关规定严格管理，对未按规定执行和不符合要求的，不得办理相关的工程建设手续，对不按规定和要求执行的开发建设、施工、设计、监理等单位记入不良行为记录，情节严重的录入诚信体系档案和平台予以曝光。</w:t>
      </w:r>
    </w:p>
    <w:p>
      <w:pPr>
        <w:keepNext w:val="0"/>
        <w:keepLines w:val="0"/>
        <w:pageBreakBefore w:val="0"/>
        <w:shd w:val="clear"/>
        <w:kinsoku/>
        <w:wordWrap/>
        <w:overflowPunct/>
        <w:topLinePunct w:val="0"/>
        <w:autoSpaceDE/>
        <w:autoSpaceDN/>
        <w:bidi w:val="0"/>
        <w:adjustRightInd/>
        <w:snapToGrid/>
        <w:spacing w:line="580" w:lineRule="atLeast"/>
        <w:ind w:firstLine="641"/>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第五条</w:t>
      </w:r>
      <w:r>
        <w:rPr>
          <w:rFonts w:hint="eastAsia" w:ascii="仿宋_GB2312" w:hAnsi="仿宋" w:eastAsia="仿宋_GB2312" w:cs="Helvetica"/>
          <w:sz w:val="32"/>
          <w:szCs w:val="32"/>
        </w:rPr>
        <w:t xml:space="preserve">  各级</w:t>
      </w:r>
      <w:r>
        <w:rPr>
          <w:rFonts w:hint="eastAsia" w:ascii="仿宋_GB2312" w:hAnsi="仿宋" w:eastAsia="仿宋_GB2312" w:cs="黑体"/>
          <w:sz w:val="32"/>
          <w:szCs w:val="32"/>
        </w:rPr>
        <w:t>建设行政主管部门应对装配式建筑建设工程全过程进行定期或不定期监督检查和抽查，确保装配式建筑工程标准及措施有效落实。</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第六条</w:t>
      </w:r>
      <w:r>
        <w:rPr>
          <w:rFonts w:hint="eastAsia" w:ascii="仿宋_GB2312" w:hAnsi="仿宋" w:eastAsia="仿宋_GB2312" w:cs="黑体"/>
          <w:sz w:val="32"/>
          <w:szCs w:val="32"/>
        </w:rPr>
        <w:t xml:space="preserve">  建设</w:t>
      </w:r>
      <w:r>
        <w:rPr>
          <w:rFonts w:hint="eastAsia" w:ascii="仿宋_GB2312" w:hAnsi="仿宋" w:eastAsia="仿宋_GB2312"/>
          <w:sz w:val="32"/>
          <w:szCs w:val="32"/>
        </w:rPr>
        <w:t>单位</w:t>
      </w:r>
      <w:r>
        <w:rPr>
          <w:rFonts w:hint="eastAsia" w:ascii="仿宋_GB2312" w:hAnsi="仿宋" w:eastAsia="仿宋_GB2312" w:cs="黑体"/>
          <w:sz w:val="32"/>
          <w:szCs w:val="32"/>
        </w:rPr>
        <w:t>是装配式建筑工程项目总负责单位，</w:t>
      </w:r>
      <w:r>
        <w:rPr>
          <w:rFonts w:hint="eastAsia" w:ascii="仿宋_GB2312" w:hAnsi="仿宋" w:eastAsia="仿宋_GB2312"/>
          <w:sz w:val="32"/>
          <w:szCs w:val="32"/>
        </w:rPr>
        <w:t>应严格按照国家和省、市发展装配式建筑的相关规定</w:t>
      </w:r>
      <w:r>
        <w:rPr>
          <w:rFonts w:hint="eastAsia" w:ascii="仿宋_GB2312" w:hAnsi="仿宋" w:eastAsia="仿宋_GB2312" w:cs="黑体"/>
          <w:sz w:val="32"/>
          <w:szCs w:val="32"/>
        </w:rPr>
        <w:t>对装配式建筑的指标落实、实施过程和工程质量安全负总责。</w:t>
      </w:r>
    </w:p>
    <w:p>
      <w:pPr>
        <w:keepNext w:val="0"/>
        <w:keepLines w:val="0"/>
        <w:pageBreakBefore w:val="0"/>
        <w:shd w:val="clear"/>
        <w:kinsoku/>
        <w:wordWrap/>
        <w:overflowPunct/>
        <w:topLinePunct w:val="0"/>
        <w:autoSpaceDE/>
        <w:autoSpaceDN/>
        <w:bidi w:val="0"/>
        <w:adjustRightInd/>
        <w:snapToGrid/>
        <w:spacing w:line="580" w:lineRule="atLeast"/>
        <w:ind w:firstLine="641"/>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第七条</w:t>
      </w:r>
      <w:r>
        <w:rPr>
          <w:rFonts w:hint="eastAsia" w:ascii="仿宋_GB2312" w:hAnsi="仿宋" w:eastAsia="仿宋_GB2312" w:cs="黑体"/>
          <w:sz w:val="32"/>
          <w:szCs w:val="32"/>
        </w:rPr>
        <w:t xml:space="preserve">  设计单位是装配式建筑设计主体，装配式建筑建设工程施工图设计文件设计说明中应标明装配式部件采用的位置及部品部件名称及达到的装配率，在施工图中详细列出PC构件统计表，对关键节点的连结形式，有详细节点大样图，对主要部品部件种类及规格、装配率计算等进行明确说明并向装配式建筑施工图审查机构提供装配率计算书。 </w:t>
      </w:r>
    </w:p>
    <w:p>
      <w:pPr>
        <w:keepNext w:val="0"/>
        <w:keepLines w:val="0"/>
        <w:pageBreakBefore w:val="0"/>
        <w:shd w:val="clear"/>
        <w:kinsoku/>
        <w:wordWrap/>
        <w:overflowPunct/>
        <w:topLinePunct w:val="0"/>
        <w:autoSpaceDE/>
        <w:autoSpaceDN/>
        <w:bidi w:val="0"/>
        <w:adjustRightInd/>
        <w:snapToGrid/>
        <w:spacing w:line="580" w:lineRule="atLeast"/>
        <w:ind w:firstLine="641"/>
        <w:textAlignment w:val="auto"/>
        <w:rPr>
          <w:rFonts w:hint="eastAsia" w:ascii="仿宋_GB2312" w:hAnsi="仿宋" w:eastAsia="仿宋_GB2312" w:cs="黑体"/>
          <w:sz w:val="32"/>
          <w:szCs w:val="32"/>
        </w:rPr>
      </w:pPr>
      <w:r>
        <w:rPr>
          <w:rFonts w:hint="eastAsia" w:ascii="仿宋_GB2312" w:hAnsi="仿宋" w:eastAsia="仿宋_GB2312" w:cs="宋体"/>
          <w:b/>
          <w:bCs w:val="0"/>
          <w:kern w:val="36"/>
          <w:sz w:val="32"/>
          <w:szCs w:val="32"/>
          <w:shd w:val="clear" w:color="auto" w:fill="FFFFFF"/>
        </w:rPr>
        <w:t>第八条</w:t>
      </w:r>
      <w:r>
        <w:rPr>
          <w:rFonts w:hint="eastAsia" w:ascii="仿宋_GB2312" w:hAnsi="仿宋" w:eastAsia="仿宋_GB2312" w:cs="黑体"/>
          <w:sz w:val="32"/>
          <w:szCs w:val="32"/>
        </w:rPr>
        <w:t xml:space="preserve">  施工图审查单位应严格执行单体建筑装配化率不低于10%的标准及其他相关设计标准、规范及规定。</w:t>
      </w:r>
      <w:r>
        <w:rPr>
          <w:rFonts w:hint="eastAsia" w:ascii="仿宋_GB2312" w:hAnsi="仿宋" w:eastAsia="仿宋_GB2312"/>
          <w:color w:val="333333"/>
          <w:sz w:val="32"/>
          <w:szCs w:val="32"/>
        </w:rPr>
        <w:t>对达不到装配</w:t>
      </w:r>
      <w:r>
        <w:rPr>
          <w:rFonts w:hint="eastAsia" w:ascii="仿宋_GB2312" w:hAnsi="仿宋" w:eastAsia="仿宋_GB2312" w:cs="宋体"/>
          <w:bCs/>
          <w:kern w:val="36"/>
          <w:sz w:val="32"/>
          <w:szCs w:val="32"/>
          <w:shd w:val="clear" w:color="auto" w:fill="FFFFFF"/>
        </w:rPr>
        <w:t>化率要求及相关强制性规定标准的装配式建筑不予核发施工图审查合格证。对已审查通过的不得擅自变更，确需变更须经原审图机构复审同意后方可实施，否则不予验收备案，并对施工、监理、设计单位予以记入不良记录或相应处罚。</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sz w:val="32"/>
          <w:szCs w:val="32"/>
        </w:rPr>
      </w:pPr>
      <w:r>
        <w:rPr>
          <w:rFonts w:hint="eastAsia" w:ascii="仿宋_GB2312" w:hAnsi="仿宋" w:eastAsia="仿宋_GB2312" w:cs="宋体"/>
          <w:b/>
          <w:bCs w:val="0"/>
          <w:kern w:val="36"/>
          <w:sz w:val="32"/>
          <w:szCs w:val="32"/>
          <w:shd w:val="clear" w:color="auto" w:fill="FFFFFF"/>
        </w:rPr>
        <w:t>第九条</w:t>
      </w:r>
      <w:r>
        <w:rPr>
          <w:rFonts w:hint="eastAsia" w:ascii="仿宋_GB2312" w:hAnsi="仿宋" w:eastAsia="仿宋_GB2312"/>
          <w:sz w:val="32"/>
          <w:szCs w:val="32"/>
        </w:rPr>
        <w:t xml:space="preserve">  装配式建筑部品部件生产企业应根据图审合格后的施工图设计文件编制部品部件制作图，设计、施工、监理单位应对部品部件制作图进行会签。</w:t>
      </w:r>
    </w:p>
    <w:p>
      <w:pPr>
        <w:keepNext w:val="0"/>
        <w:keepLines w:val="0"/>
        <w:pageBreakBefore w:val="0"/>
        <w:shd w:val="clear"/>
        <w:kinsoku/>
        <w:wordWrap/>
        <w:overflowPunct/>
        <w:topLinePunct w:val="0"/>
        <w:autoSpaceDE/>
        <w:autoSpaceDN/>
        <w:bidi w:val="0"/>
        <w:adjustRightInd/>
        <w:snapToGrid/>
        <w:spacing w:line="580" w:lineRule="atLeas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部品部件生产企业应对生产和销售的产品及应用建立信息档案。</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sz w:val="32"/>
          <w:szCs w:val="32"/>
        </w:rPr>
      </w:pPr>
      <w:r>
        <w:rPr>
          <w:rFonts w:hint="eastAsia" w:ascii="仿宋_GB2312" w:hAnsi="仿宋" w:eastAsia="仿宋_GB2312" w:cs="宋体"/>
          <w:b/>
          <w:bCs w:val="0"/>
          <w:kern w:val="36"/>
          <w:sz w:val="32"/>
          <w:szCs w:val="32"/>
          <w:shd w:val="clear" w:color="auto" w:fill="FFFFFF"/>
        </w:rPr>
        <w:t>第十条</w:t>
      </w:r>
      <w:r>
        <w:rPr>
          <w:rFonts w:hint="eastAsia" w:ascii="仿宋_GB2312" w:hAnsi="仿宋" w:eastAsia="仿宋_GB2312"/>
          <w:b/>
          <w:bCs w:val="0"/>
          <w:sz w:val="32"/>
          <w:szCs w:val="32"/>
        </w:rPr>
        <w:t xml:space="preserve"> </w:t>
      </w:r>
      <w:r>
        <w:rPr>
          <w:rFonts w:hint="eastAsia" w:ascii="仿宋_GB2312" w:hAnsi="仿宋" w:eastAsia="仿宋_GB2312"/>
          <w:sz w:val="32"/>
          <w:szCs w:val="32"/>
        </w:rPr>
        <w:t xml:space="preserve"> 施工单位应根据装配式建筑的特点要求，制定部品部件的吊装、注浆等专项施工方案，确保施工质量和安全措施落实到位。</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sz w:val="32"/>
          <w:szCs w:val="32"/>
        </w:rPr>
      </w:pPr>
      <w:r>
        <w:rPr>
          <w:rFonts w:hint="eastAsia" w:ascii="仿宋_GB2312" w:hAnsi="仿宋" w:eastAsia="仿宋_GB2312" w:cs="宋体"/>
          <w:b/>
          <w:bCs w:val="0"/>
          <w:kern w:val="36"/>
          <w:sz w:val="32"/>
          <w:szCs w:val="32"/>
          <w:shd w:val="clear" w:color="auto" w:fill="FFFFFF"/>
        </w:rPr>
        <w:t>第十一条</w:t>
      </w:r>
      <w:r>
        <w:rPr>
          <w:rFonts w:hint="eastAsia" w:ascii="仿宋_GB2312" w:hAnsi="仿宋" w:eastAsia="仿宋_GB2312"/>
          <w:b/>
          <w:bCs w:val="0"/>
          <w:sz w:val="32"/>
          <w:szCs w:val="32"/>
        </w:rPr>
        <w:t xml:space="preserve"> </w:t>
      </w:r>
      <w:r>
        <w:rPr>
          <w:rFonts w:hint="eastAsia" w:ascii="仿宋_GB2312" w:hAnsi="仿宋" w:eastAsia="仿宋_GB2312"/>
          <w:sz w:val="32"/>
          <w:szCs w:val="32"/>
        </w:rPr>
        <w:t xml:space="preserve"> 工程监理单位应编制监理规划和专项监理细则。对施工现场危险性较大及重点连接部位做好查验控制工作，并做好相关资料的存档、归档工作，同时须提供质量控制和质量证明文件。</w:t>
      </w:r>
    </w:p>
    <w:p>
      <w:pPr>
        <w:keepNext w:val="0"/>
        <w:keepLines w:val="0"/>
        <w:pageBreakBefore w:val="0"/>
        <w:shd w:val="clear"/>
        <w:kinsoku/>
        <w:wordWrap/>
        <w:overflowPunct/>
        <w:topLinePunct w:val="0"/>
        <w:autoSpaceDE/>
        <w:autoSpaceDN/>
        <w:bidi w:val="0"/>
        <w:adjustRightInd/>
        <w:snapToGrid/>
        <w:spacing w:line="580" w:lineRule="atLeast"/>
        <w:ind w:firstLine="643" w:firstLineChars="200"/>
        <w:textAlignment w:val="auto"/>
        <w:rPr>
          <w:rFonts w:hint="eastAsia" w:ascii="仿宋_GB2312" w:hAnsi="仿宋" w:eastAsia="仿宋_GB2312"/>
          <w:sz w:val="32"/>
          <w:szCs w:val="32"/>
        </w:rPr>
      </w:pPr>
      <w:r>
        <w:rPr>
          <w:rFonts w:hint="eastAsia" w:ascii="仿宋_GB2312" w:hAnsi="仿宋" w:eastAsia="仿宋_GB2312" w:cs="宋体"/>
          <w:b/>
          <w:bCs w:val="0"/>
          <w:kern w:val="36"/>
          <w:sz w:val="32"/>
          <w:szCs w:val="32"/>
          <w:shd w:val="clear" w:color="auto" w:fill="FFFFFF"/>
        </w:rPr>
        <w:t>第十二条</w:t>
      </w:r>
      <w:r>
        <w:rPr>
          <w:rFonts w:hint="eastAsia" w:ascii="仿宋_GB2312" w:hAnsi="仿宋" w:eastAsia="仿宋_GB2312"/>
          <w:sz w:val="32"/>
          <w:szCs w:val="32"/>
        </w:rPr>
        <w:t xml:space="preserve">  各相关单位加强装配式建筑相关管理人员及技术工人的业务培训，相关从业人员应通过装配式建筑相关业务培训后方可上岗。</w:t>
      </w:r>
    </w:p>
    <w:p>
      <w:pPr>
        <w:keepNext w:val="0"/>
        <w:keepLines w:val="0"/>
        <w:pageBreakBefore w:val="0"/>
        <w:shd w:val="clear"/>
        <w:kinsoku/>
        <w:wordWrap/>
        <w:overflowPunct/>
        <w:topLinePunct w:val="0"/>
        <w:autoSpaceDE/>
        <w:autoSpaceDN/>
        <w:bidi w:val="0"/>
        <w:adjustRightInd/>
        <w:snapToGrid/>
        <w:spacing w:line="580" w:lineRule="atLeast"/>
        <w:ind w:firstLine="640"/>
        <w:textAlignment w:val="auto"/>
        <w:rPr>
          <w:rFonts w:hint="eastAsia" w:ascii="仿宋_GB2312" w:hAnsi="仿宋" w:eastAsia="仿宋_GB2312"/>
          <w:sz w:val="32"/>
          <w:szCs w:val="32"/>
        </w:rPr>
      </w:pPr>
      <w:r>
        <w:rPr>
          <w:rFonts w:hint="eastAsia" w:ascii="仿宋_GB2312" w:hAnsi="仿宋" w:eastAsia="仿宋_GB2312" w:cs="宋体"/>
          <w:b/>
          <w:bCs w:val="0"/>
          <w:kern w:val="36"/>
          <w:sz w:val="32"/>
          <w:szCs w:val="32"/>
          <w:shd w:val="clear" w:color="auto" w:fill="FFFFFF"/>
        </w:rPr>
        <w:t>第十三条</w:t>
      </w:r>
      <w:r>
        <w:rPr>
          <w:rFonts w:hint="eastAsia" w:ascii="仿宋_GB2312" w:hAnsi="仿宋" w:eastAsia="仿宋_GB2312"/>
          <w:sz w:val="32"/>
          <w:szCs w:val="32"/>
        </w:rPr>
        <w:t xml:space="preserve">  装配式建筑工程建设项目</w:t>
      </w:r>
      <w:r>
        <w:rPr>
          <w:rFonts w:hint="eastAsia" w:ascii="仿宋_GB2312" w:hAnsi="仿宋" w:eastAsia="仿宋_GB2312" w:cs="仿宋"/>
          <w:sz w:val="32"/>
          <w:szCs w:val="32"/>
        </w:rPr>
        <w:t>竣工验收应由建设单位组织实施，</w:t>
      </w:r>
      <w:r>
        <w:rPr>
          <w:rFonts w:hint="eastAsia" w:ascii="仿宋_GB2312" w:hAnsi="仿宋" w:eastAsia="仿宋_GB2312"/>
          <w:sz w:val="32"/>
          <w:szCs w:val="32"/>
        </w:rPr>
        <w:t>形成评价报告。</w:t>
      </w:r>
    </w:p>
    <w:p>
      <w:pPr>
        <w:keepNext w:val="0"/>
        <w:keepLines w:val="0"/>
        <w:pageBreakBefore w:val="0"/>
        <w:shd w:val="clear"/>
        <w:kinsoku/>
        <w:wordWrap/>
        <w:overflowPunct/>
        <w:topLinePunct w:val="0"/>
        <w:autoSpaceDE/>
        <w:autoSpaceDN/>
        <w:bidi w:val="0"/>
        <w:adjustRightInd/>
        <w:snapToGrid/>
        <w:spacing w:line="580" w:lineRule="atLeast"/>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b/>
          <w:bCs/>
          <w:sz w:val="32"/>
          <w:szCs w:val="32"/>
        </w:rPr>
        <w:t>第十四条</w:t>
      </w:r>
      <w:r>
        <w:rPr>
          <w:rFonts w:hint="eastAsia" w:ascii="仿宋_GB2312" w:hAnsi="仿宋" w:eastAsia="仿宋_GB2312"/>
          <w:sz w:val="32"/>
          <w:szCs w:val="32"/>
        </w:rPr>
        <w:t xml:space="preserve">  该细则由阜新市住房和城乡建设委员会负责解释。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F2E03D5"/>
    <w:rsid w:val="13A36391"/>
    <w:rsid w:val="160D3A15"/>
    <w:rsid w:val="1AC57BFF"/>
    <w:rsid w:val="1C58533C"/>
    <w:rsid w:val="231821C4"/>
    <w:rsid w:val="28405372"/>
    <w:rsid w:val="29F93AA1"/>
    <w:rsid w:val="38206654"/>
    <w:rsid w:val="3E3A62D6"/>
    <w:rsid w:val="49482EB4"/>
    <w:rsid w:val="5AF53360"/>
    <w:rsid w:val="6C711F3C"/>
    <w:rsid w:val="6E3D4575"/>
    <w:rsid w:val="7235567F"/>
    <w:rsid w:val="7348592B"/>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1621</Words>
  <Characters>1664</Characters>
  <Lines>0</Lines>
  <Paragraphs>0</Paragraphs>
  <TotalTime>1</TotalTime>
  <ScaleCrop>false</ScaleCrop>
  <LinksUpToDate>false</LinksUpToDate>
  <CharactersWithSpaces>1729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020AD44C4B054829A05FE2EAC476CA91_13</vt:lpwstr>
  </property>
</Properties>
</file>