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255C5E">
      <w:pPr>
        <w:jc w:val="center"/>
        <w:rPr>
          <w:rFonts w:ascii="Times New Roman" w:hAnsi="Times New Roman" w:eastAsia="方正小标宋简体" w:cs="Times New Roman"/>
          <w:sz w:val="44"/>
          <w:szCs w:val="44"/>
        </w:rPr>
      </w:pPr>
    </w:p>
    <w:p w14:paraId="463D1D47">
      <w:pPr>
        <w:jc w:val="center"/>
        <w:rPr>
          <w:rFonts w:ascii="Times New Roman" w:hAnsi="Times New Roman" w:eastAsia="方正小标宋简体" w:cs="Times New Roman"/>
          <w:sz w:val="44"/>
          <w:szCs w:val="44"/>
        </w:rPr>
      </w:pPr>
    </w:p>
    <w:p w14:paraId="261CA078">
      <w:pPr>
        <w:jc w:val="center"/>
        <w:rPr>
          <w:rFonts w:ascii="Times New Roman" w:hAnsi="Times New Roman" w:eastAsia="方正小标宋简体" w:cs="Times New Roman"/>
          <w:sz w:val="44"/>
          <w:szCs w:val="44"/>
        </w:rPr>
      </w:pPr>
    </w:p>
    <w:p w14:paraId="14F66344">
      <w:pPr>
        <w:jc w:val="center"/>
        <w:rPr>
          <w:rFonts w:hint="default" w:ascii="Times New Roman" w:hAnsi="Times New Roman" w:eastAsia="方正小标宋简体" w:cs="Times New Roman"/>
          <w:sz w:val="44"/>
          <w:szCs w:val="44"/>
          <w:lang w:val="en-US" w:eastAsia="zh-CN"/>
        </w:rPr>
      </w:pPr>
      <w:r>
        <w:rPr>
          <w:rFonts w:ascii="Times New Roman" w:hAnsi="Times New Roman" w:eastAsia="方正小标宋简体" w:cs="Times New Roman"/>
          <w:sz w:val="44"/>
          <w:szCs w:val="44"/>
        </w:rPr>
        <w:t>阜新市高品质住宅建设技术导则</w:t>
      </w:r>
      <w:r>
        <w:rPr>
          <w:rFonts w:hint="eastAsia" w:ascii="Times New Roman" w:hAnsi="Times New Roman" w:eastAsia="方正小标宋简体" w:cs="Times New Roman"/>
          <w:sz w:val="44"/>
          <w:szCs w:val="44"/>
          <w:lang w:eastAsia="zh-CN"/>
        </w:rPr>
        <w:t>（</w:t>
      </w:r>
      <w:r>
        <w:rPr>
          <w:rFonts w:hint="eastAsia" w:ascii="Times New Roman" w:hAnsi="Times New Roman" w:eastAsia="方正小标宋简体" w:cs="Times New Roman"/>
          <w:sz w:val="44"/>
          <w:szCs w:val="44"/>
          <w:lang w:val="en-US" w:eastAsia="zh-CN"/>
        </w:rPr>
        <w:t>试行）</w:t>
      </w:r>
    </w:p>
    <w:p w14:paraId="31085FDD">
      <w:pPr>
        <w:rPr>
          <w:rFonts w:ascii="Times New Roman" w:hAnsi="Times New Roman" w:cs="Times New Roman"/>
        </w:rPr>
      </w:pPr>
    </w:p>
    <w:p w14:paraId="4C6CE966">
      <w:pPr>
        <w:rPr>
          <w:rFonts w:ascii="Times New Roman" w:hAnsi="Times New Roman" w:cs="Times New Roman"/>
        </w:rPr>
      </w:pPr>
    </w:p>
    <w:p w14:paraId="443770BC">
      <w:pPr>
        <w:rPr>
          <w:rFonts w:ascii="Times New Roman" w:hAnsi="Times New Roman" w:cs="Times New Roman"/>
        </w:rPr>
      </w:pPr>
    </w:p>
    <w:p w14:paraId="258C6BE7">
      <w:pPr>
        <w:rPr>
          <w:rFonts w:ascii="Times New Roman" w:hAnsi="Times New Roman" w:cs="Times New Roman"/>
        </w:rPr>
      </w:pPr>
    </w:p>
    <w:p w14:paraId="1BBC485D">
      <w:pPr>
        <w:rPr>
          <w:rFonts w:ascii="Times New Roman" w:hAnsi="Times New Roman" w:cs="Times New Roman"/>
        </w:rPr>
      </w:pPr>
    </w:p>
    <w:p w14:paraId="2186366F">
      <w:pPr>
        <w:rPr>
          <w:rFonts w:ascii="Times New Roman" w:hAnsi="Times New Roman" w:cs="Times New Roman"/>
        </w:rPr>
      </w:pPr>
    </w:p>
    <w:p w14:paraId="3EED012C">
      <w:pPr>
        <w:rPr>
          <w:rFonts w:ascii="Times New Roman" w:hAnsi="Times New Roman" w:cs="Times New Roman"/>
        </w:rPr>
      </w:pPr>
    </w:p>
    <w:p w14:paraId="4F3D0BAD">
      <w:pPr>
        <w:rPr>
          <w:rFonts w:ascii="Times New Roman" w:hAnsi="Times New Roman" w:cs="Times New Roman"/>
        </w:rPr>
      </w:pPr>
    </w:p>
    <w:p w14:paraId="0BDC9B21">
      <w:pPr>
        <w:rPr>
          <w:rFonts w:ascii="Times New Roman" w:hAnsi="Times New Roman" w:cs="Times New Roman"/>
        </w:rPr>
      </w:pPr>
    </w:p>
    <w:p w14:paraId="3880A8FA">
      <w:pPr>
        <w:rPr>
          <w:rFonts w:ascii="Times New Roman" w:hAnsi="Times New Roman" w:cs="Times New Roman"/>
        </w:rPr>
      </w:pPr>
    </w:p>
    <w:p w14:paraId="1109607D">
      <w:pPr>
        <w:rPr>
          <w:rFonts w:ascii="Times New Roman" w:hAnsi="Times New Roman" w:cs="Times New Roman"/>
        </w:rPr>
      </w:pPr>
    </w:p>
    <w:p w14:paraId="5B18F274">
      <w:pPr>
        <w:rPr>
          <w:rFonts w:ascii="Times New Roman" w:hAnsi="Times New Roman" w:cs="Times New Roman"/>
        </w:rPr>
      </w:pPr>
    </w:p>
    <w:p w14:paraId="4E04108A">
      <w:pPr>
        <w:rPr>
          <w:rFonts w:ascii="Times New Roman" w:hAnsi="Times New Roman" w:cs="Times New Roman"/>
        </w:rPr>
      </w:pPr>
    </w:p>
    <w:p w14:paraId="3A693468">
      <w:pPr>
        <w:rPr>
          <w:rFonts w:ascii="Times New Roman" w:hAnsi="Times New Roman" w:cs="Times New Roman"/>
        </w:rPr>
      </w:pPr>
    </w:p>
    <w:p w14:paraId="2CDC3863">
      <w:pPr>
        <w:rPr>
          <w:rFonts w:ascii="Times New Roman" w:hAnsi="Times New Roman" w:cs="Times New Roman"/>
        </w:rPr>
      </w:pPr>
    </w:p>
    <w:p w14:paraId="0A7A3B51">
      <w:pPr>
        <w:rPr>
          <w:rFonts w:ascii="Times New Roman" w:hAnsi="Times New Roman" w:cs="Times New Roman"/>
        </w:rPr>
      </w:pPr>
    </w:p>
    <w:p w14:paraId="2C4A2D24">
      <w:pPr>
        <w:rPr>
          <w:rFonts w:ascii="Times New Roman" w:hAnsi="Times New Roman" w:cs="Times New Roman"/>
        </w:rPr>
      </w:pPr>
    </w:p>
    <w:p w14:paraId="30D101BC">
      <w:pPr>
        <w:rPr>
          <w:rFonts w:ascii="Times New Roman" w:hAnsi="Times New Roman" w:cs="Times New Roman"/>
        </w:rPr>
      </w:pPr>
    </w:p>
    <w:p w14:paraId="01843C7B">
      <w:pPr>
        <w:rPr>
          <w:rFonts w:ascii="Times New Roman" w:hAnsi="Times New Roman" w:cs="Times New Roman"/>
        </w:rPr>
      </w:pPr>
    </w:p>
    <w:p w14:paraId="0E4F706B">
      <w:pPr>
        <w:rPr>
          <w:rFonts w:ascii="Times New Roman" w:hAnsi="Times New Roman" w:cs="Times New Roman"/>
        </w:rPr>
      </w:pPr>
    </w:p>
    <w:p w14:paraId="631DC635">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阜新市住房和城乡建设局</w:t>
      </w:r>
    </w:p>
    <w:p w14:paraId="1F0A99D9">
      <w:pPr>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月</w:t>
      </w:r>
    </w:p>
    <w:p w14:paraId="2E86E75E">
      <w:pPr>
        <w:rPr>
          <w:rFonts w:ascii="Times New Roman" w:hAnsi="Times New Roman" w:cs="Times New Roman"/>
        </w:rPr>
      </w:pPr>
    </w:p>
    <w:p w14:paraId="6EAB5495">
      <w:pPr>
        <w:rPr>
          <w:rFonts w:ascii="Times New Roman" w:hAnsi="Times New Roman" w:cs="Times New Roman"/>
        </w:rPr>
      </w:pPr>
    </w:p>
    <w:p w14:paraId="34B58710">
      <w:pPr>
        <w:rPr>
          <w:rFonts w:ascii="Times New Roman" w:hAnsi="Times New Roman" w:cs="Times New Roman"/>
        </w:rPr>
      </w:pPr>
    </w:p>
    <w:p w14:paraId="79410083">
      <w:pPr>
        <w:rPr>
          <w:rFonts w:ascii="Times New Roman" w:hAnsi="Times New Roman" w:cs="Times New Roman"/>
        </w:rPr>
      </w:pPr>
    </w:p>
    <w:p w14:paraId="5F530C20">
      <w:pPr>
        <w:rPr>
          <w:rFonts w:ascii="Times New Roman" w:hAnsi="Times New Roman" w:cs="Times New Roman"/>
        </w:rPr>
      </w:pPr>
    </w:p>
    <w:p w14:paraId="02949568">
      <w:pPr>
        <w:rPr>
          <w:rFonts w:ascii="Times New Roman" w:hAnsi="Times New Roman" w:cs="Times New Roman"/>
        </w:rPr>
      </w:pPr>
    </w:p>
    <w:p w14:paraId="033ED861">
      <w:pPr>
        <w:rPr>
          <w:rFonts w:ascii="Times New Roman" w:hAnsi="Times New Roman" w:cs="Times New Roman"/>
        </w:rPr>
      </w:pPr>
    </w:p>
    <w:p w14:paraId="3536DB9D">
      <w:pPr>
        <w:rPr>
          <w:rFonts w:ascii="Times New Roman" w:hAnsi="Times New Roman" w:cs="Times New Roman"/>
        </w:rPr>
      </w:pPr>
    </w:p>
    <w:p w14:paraId="746CC03B">
      <w:pPr>
        <w:rPr>
          <w:rFonts w:ascii="Times New Roman" w:hAnsi="Times New Roman" w:cs="Times New Roman"/>
        </w:rPr>
      </w:pPr>
    </w:p>
    <w:p w14:paraId="7939D7D7">
      <w:pPr>
        <w:rPr>
          <w:rFonts w:ascii="Times New Roman" w:hAnsi="Times New Roman" w:cs="Times New Roman"/>
        </w:rPr>
      </w:pPr>
    </w:p>
    <w:p w14:paraId="7DC9B2FF">
      <w:pPr>
        <w:jc w:val="center"/>
        <w:rPr>
          <w:rFonts w:ascii="Times New Roman" w:hAnsi="Times New Roman" w:eastAsia="仿宋_GB2312" w:cs="Times New Roman"/>
          <w:sz w:val="32"/>
          <w:szCs w:val="32"/>
        </w:rPr>
      </w:pPr>
      <w:r>
        <w:rPr>
          <w:rFonts w:hint="eastAsia" w:ascii="Times New Roman" w:hAnsi="Times New Roman" w:eastAsia="黑体" w:cs="Times New Roman"/>
          <w:sz w:val="44"/>
          <w:szCs w:val="44"/>
          <w:lang w:val="en-US" w:eastAsia="zh-CN"/>
        </w:rPr>
        <w:t>前言</w:t>
      </w:r>
    </w:p>
    <w:p w14:paraId="72FB5360">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近年来，住宅建设已进入品质提升的关键阶段，打造安全、舒适、绿色、智慧的“好房子”成为城乡建设高质量发展的重要目标。为落实国家及辽宁省关于建设“好房子”的部署要求，结合阜新市气候特征、地域文化特色及城市更新实际需求，在总结阜新市住宅建设实践经验、梳理群众居住需求痛点和相关技术要求的基础上，编制本《阜新市高品质住宅建设技术导则》。本导则旨在为阜新市新建、改建、扩建高品质住宅的设计、建造、运维提供技术指引，推动住宅建设从“有没有”向“好不好”转变，更好满足人民群众对美好生活的向往。</w:t>
      </w:r>
    </w:p>
    <w:p w14:paraId="293485E0">
      <w:pPr>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本导则主要内容包括：1.</w:t>
      </w:r>
      <w:bookmarkStart w:id="3" w:name="_GoBack"/>
      <w:r>
        <w:rPr>
          <w:rFonts w:ascii="Times New Roman" w:hAnsi="Times New Roman" w:eastAsia="仿宋_GB2312" w:cs="Times New Roman"/>
          <w:sz w:val="32"/>
          <w:szCs w:val="32"/>
        </w:rPr>
        <w:t>总则、</w:t>
      </w:r>
      <w:bookmarkEnd w:id="3"/>
      <w:r>
        <w:rPr>
          <w:rFonts w:ascii="Times New Roman" w:hAnsi="Times New Roman" w:eastAsia="仿宋_GB2312" w:cs="Times New Roman"/>
          <w:sz w:val="32"/>
          <w:szCs w:val="32"/>
        </w:rPr>
        <w:t>2.一般规定、3.安全耐久、4.健康舒适、5.宜居便利、6.绿色低碳、7.智慧便捷、8.</w:t>
      </w:r>
      <w:r>
        <w:rPr>
          <w:rFonts w:hint="eastAsia" w:ascii="Times New Roman" w:hAnsi="Times New Roman" w:eastAsia="仿宋_GB2312" w:cs="Times New Roman"/>
          <w:sz w:val="32"/>
          <w:szCs w:val="32"/>
        </w:rPr>
        <w:t>服务管理</w:t>
      </w:r>
      <w:r>
        <w:rPr>
          <w:rFonts w:ascii="Times New Roman" w:hAnsi="Times New Roman" w:eastAsia="仿宋_GB2312" w:cs="Times New Roman"/>
          <w:sz w:val="32"/>
          <w:szCs w:val="32"/>
        </w:rPr>
        <w:t>。</w:t>
      </w:r>
    </w:p>
    <w:p w14:paraId="797F8FAF">
      <w:pPr>
        <w:rPr>
          <w:rFonts w:ascii="Times New Roman" w:hAnsi="Times New Roman" w:eastAsia="Segoe UI" w:cs="Times New Roman"/>
          <w:color w:val="000000"/>
          <w:kern w:val="0"/>
          <w:sz w:val="24"/>
          <w:shd w:val="clear" w:color="auto" w:fill="FFFFFF"/>
          <w:lang w:bidi="ar"/>
        </w:rPr>
      </w:pPr>
    </w:p>
    <w:p w14:paraId="7BECF93E">
      <w:pPr>
        <w:rPr>
          <w:rFonts w:ascii="Times New Roman" w:hAnsi="Times New Roman" w:eastAsia="Segoe UI" w:cs="Times New Roman"/>
          <w:color w:val="000000"/>
          <w:kern w:val="0"/>
          <w:sz w:val="24"/>
          <w:shd w:val="clear" w:color="auto" w:fill="FFFFFF"/>
          <w:lang w:bidi="ar"/>
        </w:rPr>
      </w:pPr>
    </w:p>
    <w:p w14:paraId="535746C8">
      <w:pPr>
        <w:rPr>
          <w:rFonts w:ascii="Times New Roman" w:hAnsi="Times New Roman" w:eastAsia="Segoe UI" w:cs="Times New Roman"/>
          <w:color w:val="000000"/>
          <w:kern w:val="0"/>
          <w:sz w:val="24"/>
          <w:shd w:val="clear" w:color="auto" w:fill="FFFFFF"/>
          <w:lang w:bidi="ar"/>
        </w:rPr>
      </w:pPr>
    </w:p>
    <w:p w14:paraId="7D5C000F">
      <w:pPr>
        <w:rPr>
          <w:rFonts w:ascii="Times New Roman" w:hAnsi="Times New Roman" w:eastAsia="Segoe UI" w:cs="Times New Roman"/>
          <w:color w:val="000000"/>
          <w:kern w:val="0"/>
          <w:sz w:val="24"/>
          <w:shd w:val="clear" w:color="auto" w:fill="FFFFFF"/>
          <w:lang w:bidi="ar"/>
        </w:rPr>
      </w:pPr>
    </w:p>
    <w:p w14:paraId="44567592">
      <w:pPr>
        <w:rPr>
          <w:rFonts w:ascii="Times New Roman" w:hAnsi="Times New Roman" w:eastAsia="Segoe UI" w:cs="Times New Roman"/>
          <w:color w:val="000000"/>
          <w:kern w:val="0"/>
          <w:sz w:val="24"/>
          <w:shd w:val="clear" w:color="auto" w:fill="FFFFFF"/>
          <w:lang w:bidi="ar"/>
        </w:rPr>
      </w:pPr>
    </w:p>
    <w:p w14:paraId="52C5C982">
      <w:pPr>
        <w:rPr>
          <w:rFonts w:ascii="Times New Roman" w:hAnsi="Times New Roman" w:eastAsia="Segoe UI" w:cs="Times New Roman"/>
          <w:color w:val="000000"/>
          <w:kern w:val="0"/>
          <w:sz w:val="24"/>
          <w:shd w:val="clear" w:color="auto" w:fill="FFFFFF"/>
          <w:lang w:bidi="ar"/>
        </w:rPr>
      </w:pPr>
    </w:p>
    <w:p w14:paraId="5287AC8E">
      <w:pPr>
        <w:rPr>
          <w:rFonts w:ascii="Times New Roman" w:hAnsi="Times New Roman" w:eastAsia="Segoe UI" w:cs="Times New Roman"/>
          <w:color w:val="000000"/>
          <w:kern w:val="0"/>
          <w:sz w:val="24"/>
          <w:shd w:val="clear" w:color="auto" w:fill="FFFFFF"/>
          <w:lang w:bidi="ar"/>
        </w:rPr>
      </w:pPr>
    </w:p>
    <w:p w14:paraId="5A626183">
      <w:pPr>
        <w:rPr>
          <w:rFonts w:ascii="Times New Roman" w:hAnsi="Times New Roman" w:eastAsia="Segoe UI" w:cs="Times New Roman"/>
          <w:color w:val="000000"/>
          <w:kern w:val="0"/>
          <w:sz w:val="24"/>
          <w:shd w:val="clear" w:color="auto" w:fill="FFFFFF"/>
          <w:lang w:bidi="ar"/>
        </w:rPr>
      </w:pPr>
    </w:p>
    <w:p w14:paraId="02AF6B67">
      <w:pPr>
        <w:rPr>
          <w:rFonts w:ascii="Times New Roman" w:hAnsi="Times New Roman" w:eastAsia="Segoe UI" w:cs="Times New Roman"/>
          <w:color w:val="000000"/>
          <w:kern w:val="0"/>
          <w:sz w:val="24"/>
          <w:shd w:val="clear" w:color="auto" w:fill="FFFFFF"/>
          <w:lang w:bidi="ar"/>
        </w:rPr>
      </w:pPr>
    </w:p>
    <w:p w14:paraId="4463A5E9">
      <w:pPr>
        <w:rPr>
          <w:rFonts w:ascii="Times New Roman" w:hAnsi="Times New Roman" w:eastAsia="Segoe UI" w:cs="Times New Roman"/>
          <w:color w:val="000000"/>
          <w:kern w:val="0"/>
          <w:sz w:val="24"/>
          <w:shd w:val="clear" w:color="auto" w:fill="FFFFFF"/>
          <w:lang w:bidi="ar"/>
        </w:rPr>
      </w:pPr>
    </w:p>
    <w:p w14:paraId="0F4F93A6">
      <w:pPr>
        <w:rPr>
          <w:rFonts w:ascii="Times New Roman" w:hAnsi="Times New Roman" w:eastAsia="Segoe UI" w:cs="Times New Roman"/>
          <w:color w:val="000000"/>
          <w:kern w:val="0"/>
          <w:sz w:val="24"/>
          <w:shd w:val="clear" w:color="auto" w:fill="FFFFFF"/>
          <w:lang w:bidi="ar"/>
        </w:rPr>
      </w:pPr>
    </w:p>
    <w:p w14:paraId="6B820A9D">
      <w:pPr>
        <w:rPr>
          <w:rFonts w:ascii="Times New Roman" w:hAnsi="Times New Roman" w:eastAsia="Segoe UI" w:cs="Times New Roman"/>
          <w:color w:val="000000"/>
          <w:kern w:val="0"/>
          <w:sz w:val="24"/>
          <w:shd w:val="clear" w:color="auto" w:fill="FFFFFF"/>
          <w:lang w:bidi="ar"/>
        </w:rPr>
      </w:pPr>
    </w:p>
    <w:p w14:paraId="2E93963C">
      <w:pPr>
        <w:rPr>
          <w:rFonts w:ascii="Times New Roman" w:hAnsi="Times New Roman" w:eastAsia="Segoe UI" w:cs="Times New Roman"/>
          <w:color w:val="000000"/>
          <w:kern w:val="0"/>
          <w:sz w:val="24"/>
          <w:shd w:val="clear" w:color="auto" w:fill="FFFFFF"/>
          <w:lang w:bidi="ar"/>
        </w:rPr>
      </w:pPr>
    </w:p>
    <w:p w14:paraId="5EAE7CE1">
      <w:pPr>
        <w:rPr>
          <w:rFonts w:ascii="Times New Roman" w:hAnsi="Times New Roman" w:eastAsia="Segoe UI" w:cs="Times New Roman"/>
          <w:color w:val="000000"/>
          <w:kern w:val="0"/>
          <w:sz w:val="24"/>
          <w:shd w:val="clear" w:color="auto" w:fill="FFFFFF"/>
          <w:lang w:bidi="ar"/>
        </w:rPr>
      </w:pPr>
    </w:p>
    <w:p w14:paraId="3F3C00F4">
      <w:pPr>
        <w:rPr>
          <w:rFonts w:ascii="Times New Roman" w:hAnsi="Times New Roman" w:eastAsia="Segoe UI" w:cs="Times New Roman"/>
          <w:color w:val="000000"/>
          <w:kern w:val="0"/>
          <w:sz w:val="24"/>
          <w:shd w:val="clear" w:color="auto" w:fill="FFFFFF"/>
          <w:lang w:bidi="ar"/>
        </w:rPr>
      </w:pPr>
    </w:p>
    <w:p w14:paraId="35D3F991">
      <w:pPr>
        <w:jc w:val="center"/>
        <w:rPr>
          <w:rFonts w:ascii="Times New Roman" w:hAnsi="Times New Roman" w:eastAsia="黑体" w:cs="Times New Roman"/>
          <w:color w:val="000000"/>
          <w:kern w:val="0"/>
          <w:sz w:val="44"/>
          <w:szCs w:val="44"/>
          <w:shd w:val="clear" w:color="auto" w:fill="FFFFFF"/>
          <w:lang w:bidi="ar"/>
        </w:rPr>
        <w:sectPr>
          <w:footerReference r:id="rId3" w:type="default"/>
          <w:pgSz w:w="11906" w:h="16838"/>
          <w:pgMar w:top="1440" w:right="1800" w:bottom="1440" w:left="1800" w:header="851" w:footer="992" w:gutter="0"/>
          <w:pgNumType w:fmt="upperRoman" w:start="1"/>
          <w:cols w:space="425" w:num="1"/>
          <w:docGrid w:type="lines" w:linePitch="312" w:charSpace="0"/>
        </w:sectPr>
      </w:pPr>
    </w:p>
    <w:p w14:paraId="7BFE1206">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1 总则</w:t>
      </w:r>
    </w:p>
    <w:p w14:paraId="354B8CB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1.0.1 为提升阜新市住宅建设品质，推动</w:t>
      </w:r>
      <w:r>
        <w:rPr>
          <w:rFonts w:hint="eastAsia" w:ascii="Times New Roman" w:hAnsi="Times New Roman" w:eastAsia="仿宋_GB2312" w:cs="Times New Roman"/>
          <w:color w:val="000000"/>
          <w:kern w:val="0"/>
          <w:sz w:val="32"/>
          <w:szCs w:val="32"/>
          <w:shd w:val="clear" w:color="auto" w:fill="FFFFFF"/>
          <w:lang w:eastAsia="zh-CN" w:bidi="ar"/>
        </w:rPr>
        <w:t>房地产高质量发展</w:t>
      </w:r>
      <w:r>
        <w:rPr>
          <w:rFonts w:ascii="Times New Roman" w:hAnsi="Times New Roman" w:eastAsia="仿宋_GB2312" w:cs="Times New Roman"/>
          <w:color w:val="000000"/>
          <w:kern w:val="0"/>
          <w:sz w:val="32"/>
          <w:szCs w:val="32"/>
          <w:shd w:val="clear" w:color="auto" w:fill="FFFFFF"/>
          <w:lang w:bidi="ar"/>
        </w:rPr>
        <w:t>，建设安全、舒适、绿色、智慧的</w:t>
      </w:r>
      <w:r>
        <w:rPr>
          <w:rFonts w:hint="eastAsia" w:ascii="Times New Roman" w:hAnsi="Times New Roman" w:eastAsia="仿宋_GB2312" w:cs="Times New Roman"/>
          <w:color w:val="000000"/>
          <w:kern w:val="0"/>
          <w:sz w:val="32"/>
          <w:szCs w:val="32"/>
          <w:shd w:val="clear" w:color="auto" w:fill="FFFFFF"/>
          <w:lang w:eastAsia="zh-CN" w:bidi="ar"/>
        </w:rPr>
        <w:t>“</w:t>
      </w:r>
      <w:r>
        <w:rPr>
          <w:rFonts w:ascii="Times New Roman" w:hAnsi="Times New Roman" w:eastAsia="仿宋_GB2312" w:cs="Times New Roman"/>
          <w:color w:val="000000"/>
          <w:kern w:val="0"/>
          <w:sz w:val="32"/>
          <w:szCs w:val="32"/>
          <w:shd w:val="clear" w:color="auto" w:fill="FFFFFF"/>
          <w:lang w:bidi="ar"/>
        </w:rPr>
        <w:t>好房子</w:t>
      </w:r>
      <w:r>
        <w:rPr>
          <w:rFonts w:hint="eastAsia" w:ascii="Times New Roman" w:hAnsi="Times New Roman" w:eastAsia="仿宋_GB2312" w:cs="Times New Roman"/>
          <w:color w:val="000000"/>
          <w:kern w:val="0"/>
          <w:sz w:val="32"/>
          <w:szCs w:val="32"/>
          <w:shd w:val="clear" w:color="auto" w:fill="FFFFFF"/>
          <w:lang w:eastAsia="zh-CN" w:bidi="ar"/>
        </w:rPr>
        <w:t>”</w:t>
      </w:r>
      <w:r>
        <w:rPr>
          <w:rFonts w:ascii="Times New Roman" w:hAnsi="Times New Roman" w:eastAsia="仿宋_GB2312" w:cs="Times New Roman"/>
          <w:color w:val="000000"/>
          <w:kern w:val="0"/>
          <w:sz w:val="32"/>
          <w:szCs w:val="32"/>
          <w:shd w:val="clear" w:color="auto" w:fill="FFFFFF"/>
          <w:lang w:bidi="ar"/>
        </w:rPr>
        <w:t>，满足人民群众美好居住需求，制定本导则。</w:t>
      </w:r>
    </w:p>
    <w:p w14:paraId="464BA47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1.0.2 本导则适用于阜新市行政区域内新建高品质住宅的设计，其他住宅项目可参考执行。</w:t>
      </w:r>
    </w:p>
    <w:p w14:paraId="75065C6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1.0.3 高品质住宅建设应遵循“适用、经济、绿色、美观”的建筑方针，坚持以人为本、因地制宜、可持续发展理念，结合阜新市严寒气候、地域文化和城市发展特点，以安全耐久为基础，以健康舒适为核心，兼顾宜居便利、绿色低碳、智慧便捷以及和谐美好，全面提升住宅综合品质</w:t>
      </w:r>
      <w:r>
        <w:rPr>
          <w:rFonts w:hint="eastAsia" w:ascii="Times New Roman" w:hAnsi="Times New Roman" w:eastAsia="仿宋_GB2312" w:cs="Times New Roman"/>
          <w:color w:val="000000"/>
          <w:kern w:val="0"/>
          <w:sz w:val="32"/>
          <w:szCs w:val="32"/>
          <w:shd w:val="clear" w:color="auto" w:fill="FFFFFF"/>
          <w:lang w:bidi="ar"/>
        </w:rPr>
        <w:t>和服务</w:t>
      </w:r>
      <w:r>
        <w:rPr>
          <w:rFonts w:ascii="Times New Roman" w:hAnsi="Times New Roman" w:eastAsia="仿宋_GB2312" w:cs="Times New Roman"/>
          <w:color w:val="000000"/>
          <w:kern w:val="0"/>
          <w:sz w:val="32"/>
          <w:szCs w:val="32"/>
          <w:shd w:val="clear" w:color="auto" w:fill="FFFFFF"/>
          <w:lang w:bidi="ar"/>
        </w:rPr>
        <w:t>。</w:t>
      </w:r>
    </w:p>
    <w:p w14:paraId="0509F64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1.0.4 高品质住宅建设除符合本导则规定外，尚应符合国家、行业及辽宁省现行有关标准规范的要求。本导则为技术指引，不具有强制性，不作为行政执法依据。</w:t>
      </w:r>
    </w:p>
    <w:p w14:paraId="433FB85A">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2 一般规定</w:t>
      </w:r>
    </w:p>
    <w:p w14:paraId="0CD1280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2.0.1 建设单位应对住宅建设全过程实施品质管控，强化施工管理，鼓励推行工程质量保险和质量评价制度，强化过程质量管控，提供全面质量保障。</w:t>
      </w:r>
    </w:p>
    <w:p w14:paraId="063DEC6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2.0.2 新建住宅工程应符合《住宅项目规范》GB55038，按照不低于《绿色建筑评价标准》GB/T50378绿色建筑二星级标准进行设计和建设。</w:t>
      </w:r>
    </w:p>
    <w:p w14:paraId="12E192E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2.0.3 鼓励新建住宅按照超低能耗建筑、近零能耗建筑、零碳建筑、健康建筑、宁静住宅等标准设计建设，促进“绿色建筑+”融合发展。</w:t>
      </w:r>
    </w:p>
    <w:p w14:paraId="140FC33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2.0.4 鼓励采用智能建造方式和建筑工业化技术，推广绿色建材应用，提升建设效率和工程质量。</w:t>
      </w:r>
    </w:p>
    <w:p w14:paraId="1909431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2.0.5 住宅建筑应结合阜新地域文化特色，采用适宜的建筑风貌，传承辽西地区建筑文化元素，避免千城一面。</w:t>
      </w:r>
    </w:p>
    <w:p w14:paraId="6B4B567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2.0.6 住宅建设的设计、生产、建造、交付、运维等全过程宜采用建筑信息模型（BIM）技术。</w:t>
      </w:r>
    </w:p>
    <w:p w14:paraId="018CFF6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2.0.7 鼓励既有住宅按照外装层、保温隔离层、内装层、周边环境层四个“层级”概念进行改造更新，优化资源利用，提升居住品质。</w:t>
      </w:r>
    </w:p>
    <w:p w14:paraId="2CF79CD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2.0.8 施工图设计文件应编制《住宅工程防水防渗漏及隔声专篇》，明确设计依据、原则以及防水部位、典型构造详图、材料性能、使用年限、管理要求。</w:t>
      </w:r>
    </w:p>
    <w:p w14:paraId="65DED48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2.0.9 本导则指标分为控制项和提升项。控制项为高品质住宅必须满足的基本要求；提升项供建设单位根据项目定位、地域条件、投资规模等因素选择采用，进一步提升住宅品质。</w:t>
      </w:r>
    </w:p>
    <w:p w14:paraId="6D6FDC9A">
      <w:pPr>
        <w:jc w:val="center"/>
        <w:rPr>
          <w:rFonts w:ascii="Times New Roman" w:hAnsi="Times New Roman" w:eastAsia="黑体" w:cs="Times New Roman"/>
          <w:color w:val="000000"/>
          <w:kern w:val="0"/>
          <w:sz w:val="44"/>
          <w:szCs w:val="44"/>
          <w:shd w:val="clear" w:color="auto" w:fill="FFFFFF"/>
          <w:lang w:bidi="ar"/>
        </w:rPr>
      </w:pPr>
    </w:p>
    <w:p w14:paraId="1AA7F3E4">
      <w:pPr>
        <w:jc w:val="center"/>
        <w:rPr>
          <w:rFonts w:ascii="Times New Roman" w:hAnsi="Times New Roman" w:eastAsia="黑体" w:cs="Times New Roman"/>
          <w:color w:val="000000"/>
          <w:kern w:val="0"/>
          <w:sz w:val="44"/>
          <w:szCs w:val="44"/>
          <w:shd w:val="clear" w:color="auto" w:fill="FFFFFF"/>
          <w:lang w:bidi="ar"/>
        </w:rPr>
      </w:pPr>
    </w:p>
    <w:p w14:paraId="148F4483">
      <w:pPr>
        <w:jc w:val="center"/>
        <w:rPr>
          <w:rFonts w:ascii="Times New Roman" w:hAnsi="Times New Roman" w:eastAsia="黑体" w:cs="Times New Roman"/>
          <w:color w:val="000000"/>
          <w:kern w:val="0"/>
          <w:sz w:val="44"/>
          <w:szCs w:val="44"/>
          <w:shd w:val="clear" w:color="auto" w:fill="FFFFFF"/>
          <w:lang w:bidi="ar"/>
        </w:rPr>
      </w:pPr>
    </w:p>
    <w:p w14:paraId="06705015">
      <w:pPr>
        <w:jc w:val="center"/>
        <w:rPr>
          <w:rFonts w:ascii="Times New Roman" w:hAnsi="Times New Roman" w:eastAsia="黑体" w:cs="Times New Roman"/>
          <w:color w:val="000000"/>
          <w:kern w:val="0"/>
          <w:sz w:val="44"/>
          <w:szCs w:val="44"/>
          <w:shd w:val="clear" w:color="auto" w:fill="FFFFFF"/>
          <w:lang w:bidi="ar"/>
        </w:rPr>
      </w:pPr>
    </w:p>
    <w:p w14:paraId="216E413D">
      <w:pPr>
        <w:jc w:val="both"/>
        <w:rPr>
          <w:rFonts w:ascii="Times New Roman" w:hAnsi="Times New Roman" w:eastAsia="黑体" w:cs="Times New Roman"/>
          <w:color w:val="000000"/>
          <w:kern w:val="0"/>
          <w:sz w:val="44"/>
          <w:szCs w:val="44"/>
          <w:shd w:val="clear" w:color="auto" w:fill="FFFFFF"/>
          <w:lang w:bidi="ar"/>
        </w:rPr>
      </w:pPr>
    </w:p>
    <w:p w14:paraId="1D578755">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3 安全耐久</w:t>
      </w:r>
    </w:p>
    <w:p w14:paraId="78D3D557">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3.1 控制项</w:t>
      </w:r>
    </w:p>
    <w:p w14:paraId="304A5AF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3.1.1 建筑主体结构和地基基础应满足承载力、变形、稳定性和建筑使用功能的要求，适应阜新地区冻土环境特点。围护结构应具备安全、耐久及防护性能。</w:t>
      </w:r>
    </w:p>
    <w:p w14:paraId="77C230A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3.1.2 外墙、屋面、门窗等应强化防水抗渗设计：外墙采用高密实度墙体材料及刚性柔性结合防水措施，外墙防水应符合现行行业标准《建筑外墙防水工程技术规程》JGJ/T235的有关规定；外门窗水密性能不低于《建筑幕墙、门窗通用技术条件》GB/T31433规定的3级，气密性等级不低于6级；屋面防水等级达到</w:t>
      </w:r>
      <w:r>
        <w:rPr>
          <w:rFonts w:ascii="Times New Roman" w:hAnsi="Times New Roman" w:eastAsia="仿宋_GB2312" w:cs="Times New Roman"/>
          <w:color w:val="000000"/>
          <w:kern w:val="0"/>
          <w:sz w:val="32"/>
          <w:szCs w:val="32"/>
          <w:shd w:val="clear" w:color="auto" w:fill="FFFFFF"/>
          <w:lang w:eastAsia="zh" w:bidi="ar"/>
        </w:rPr>
        <w:t>《屋面工程防水技术规范》</w:t>
      </w:r>
      <w:r>
        <w:rPr>
          <w:rFonts w:ascii="Times New Roman" w:hAnsi="Times New Roman" w:eastAsia="仿宋_GB2312" w:cs="Times New Roman"/>
          <w:color w:val="000000"/>
          <w:kern w:val="0"/>
          <w:sz w:val="32"/>
          <w:szCs w:val="32"/>
          <w:shd w:val="clear" w:color="auto" w:fill="FFFFFF"/>
          <w:lang w:bidi="ar"/>
        </w:rPr>
        <w:t>GB50345规定的一级。</w:t>
      </w:r>
    </w:p>
    <w:p w14:paraId="789C15C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3.1.3 外遮阳、太阳能设施、空调室外机位等外部设施应与主体结构统一设计施工，具备安装检修条件。</w:t>
      </w:r>
    </w:p>
    <w:p w14:paraId="7E84B87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3.1.4 </w:t>
      </w:r>
      <w:r>
        <w:rPr>
          <w:rFonts w:ascii="Times New Roman" w:hAnsi="Times New Roman" w:eastAsia="仿宋_GB2312" w:cs="Times New Roman"/>
          <w:color w:val="000000"/>
          <w:kern w:val="0"/>
          <w:sz w:val="32"/>
          <w:szCs w:val="32"/>
          <w:shd w:val="clear" w:color="auto" w:fill="FFFFFF"/>
          <w:lang w:eastAsia="zh" w:bidi="ar"/>
        </w:rPr>
        <w:t>建筑内部的非结构构件、设备及附属设施等应连接牢固并能适应主体结构变形。建筑外门窗必须安装牢固，其抗风压性能和水密性能应符合国家现行有关标准的规定。</w:t>
      </w:r>
    </w:p>
    <w:p w14:paraId="5D13327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3.1.5 卫生间、浴室地面和墙面应设置防水层：无淋浴分区的四面墙防水层翻起高度不小于1.50m；有淋浴分区的防水层翻起高度至吊顶以上0.25m，且不小于2.00m，宽度应至淋浴区外扩0.25m以上。其他墙面防水层高度不小于0.30m。</w:t>
      </w:r>
    </w:p>
    <w:p w14:paraId="0243AAC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3.1.6 走廊、疏散通道应满足紧急疏散和应急救护要求，保持畅通；设置清晰的安全防护警示和引导标识系统。</w:t>
      </w:r>
    </w:p>
    <w:p w14:paraId="19345F4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3.1.7 阳台、外窗、窗台等部位应强化安全防护；建筑物出入口应设置防外墙饰面及门窗玻璃脱落的防护措施，结合遮阳挡雨设施统筹设计。同时充分利用场地或景观形成可见地坠物风险的缓冲区、隔离带。</w:t>
      </w:r>
    </w:p>
    <w:p w14:paraId="38B2962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3.1.8 建筑出入口、电梯厅、厨房、卫生间等地面应采取防滑措施，防滑等级不低于《建筑地面工程防滑技术规程》JGJ/T331规定的Bd</w:t>
      </w:r>
      <w:r>
        <w:rPr>
          <w:rFonts w:ascii="Times New Roman" w:hAnsi="Times New Roman" w:eastAsia="宋体" w:cs="Times New Roman"/>
          <w:sz w:val="28"/>
          <w:szCs w:val="28"/>
          <w:lang w:eastAsia="zh"/>
        </w:rPr>
        <w:t>（0.6≤C0F&lt;0.</w:t>
      </w:r>
      <w:r>
        <w:rPr>
          <w:rFonts w:hint="eastAsia" w:ascii="Times New Roman" w:hAnsi="Times New Roman" w:eastAsia="宋体" w:cs="Times New Roman"/>
          <w:sz w:val="28"/>
          <w:szCs w:val="28"/>
          <w:lang w:eastAsia="zh-CN"/>
        </w:rPr>
        <w:t>7）</w:t>
      </w:r>
      <w:r>
        <w:rPr>
          <w:rFonts w:ascii="Times New Roman" w:hAnsi="Times New Roman" w:eastAsia="仿宋_GB2312" w:cs="Times New Roman"/>
          <w:color w:val="000000"/>
          <w:kern w:val="0"/>
          <w:sz w:val="32"/>
          <w:szCs w:val="32"/>
          <w:shd w:val="clear" w:color="auto" w:fill="FFFFFF"/>
          <w:lang w:bidi="ar"/>
        </w:rPr>
        <w:t>Bw</w:t>
      </w:r>
      <w:r>
        <w:rPr>
          <w:rFonts w:ascii="Times New Roman" w:hAnsi="Times New Roman" w:eastAsia="宋体" w:cs="Times New Roman"/>
          <w:sz w:val="28"/>
          <w:szCs w:val="28"/>
          <w:lang w:eastAsia="zh"/>
        </w:rPr>
        <w:t>（60≤BPN&lt;80）</w:t>
      </w:r>
      <w:r>
        <w:rPr>
          <w:rFonts w:ascii="Times New Roman" w:hAnsi="Times New Roman" w:eastAsia="仿宋_GB2312" w:cs="Times New Roman"/>
          <w:color w:val="000000"/>
          <w:kern w:val="0"/>
          <w:sz w:val="32"/>
          <w:szCs w:val="32"/>
          <w:shd w:val="clear" w:color="auto" w:fill="FFFFFF"/>
          <w:lang w:bidi="ar"/>
        </w:rPr>
        <w:t>级；活动场地及坡道、楼梯踏步防滑等级不低于Ad</w:t>
      </w:r>
      <w:r>
        <w:rPr>
          <w:rFonts w:ascii="Times New Roman" w:hAnsi="Times New Roman" w:eastAsia="宋体" w:cs="Times New Roman"/>
          <w:sz w:val="28"/>
          <w:szCs w:val="28"/>
          <w:lang w:eastAsia="zh"/>
        </w:rPr>
        <w:t>（COF≥0.</w:t>
      </w:r>
      <w:r>
        <w:rPr>
          <w:rFonts w:hint="eastAsia" w:ascii="Times New Roman" w:hAnsi="Times New Roman" w:eastAsia="宋体" w:cs="Times New Roman"/>
          <w:sz w:val="28"/>
          <w:szCs w:val="28"/>
          <w:lang w:eastAsia="zh-CN"/>
        </w:rPr>
        <w:t>7）</w:t>
      </w:r>
      <w:r>
        <w:rPr>
          <w:rFonts w:ascii="Times New Roman" w:hAnsi="Times New Roman" w:eastAsia="仿宋_GB2312" w:cs="Times New Roman"/>
          <w:color w:val="000000"/>
          <w:kern w:val="0"/>
          <w:sz w:val="32"/>
          <w:szCs w:val="32"/>
          <w:shd w:val="clear" w:color="auto" w:fill="FFFFFF"/>
          <w:lang w:bidi="ar"/>
        </w:rPr>
        <w:t>Aw</w:t>
      </w:r>
      <w:r>
        <w:rPr>
          <w:rFonts w:ascii="Times New Roman" w:hAnsi="Times New Roman" w:eastAsia="宋体" w:cs="Times New Roman"/>
          <w:sz w:val="28"/>
          <w:szCs w:val="28"/>
          <w:lang w:eastAsia="zh"/>
        </w:rPr>
        <w:t>（BPN≥N80）</w:t>
      </w:r>
      <w:r>
        <w:rPr>
          <w:rFonts w:ascii="Times New Roman" w:hAnsi="Times New Roman" w:eastAsia="仿宋_GB2312" w:cs="Times New Roman"/>
          <w:color w:val="000000"/>
          <w:kern w:val="0"/>
          <w:sz w:val="32"/>
          <w:szCs w:val="32"/>
          <w:shd w:val="clear" w:color="auto" w:fill="FFFFFF"/>
          <w:lang w:bidi="ar"/>
        </w:rPr>
        <w:t>级。</w:t>
      </w:r>
    </w:p>
    <w:p w14:paraId="2727706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3.1.9 </w:t>
      </w:r>
      <w:r>
        <w:rPr>
          <w:rFonts w:ascii="Times New Roman" w:hAnsi="Times New Roman" w:eastAsia="仿宋_GB2312" w:cs="Times New Roman"/>
          <w:color w:val="000000"/>
          <w:kern w:val="0"/>
          <w:sz w:val="32"/>
          <w:szCs w:val="32"/>
          <w:shd w:val="clear" w:color="auto" w:fill="FFFFFF"/>
          <w:lang w:eastAsia="zh" w:bidi="ar"/>
        </w:rPr>
        <w:t>住宅外墙及高于2.0m的景观墙不应采用湿贴石材的施工工艺；住宅公共区域内墙高度超过3.0m时，不应采用湿贴石材或玻化砖的施工工艺，应采用干挂石材或涂料做法。</w:t>
      </w:r>
    </w:p>
    <w:p w14:paraId="2508213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3.1.10 </w:t>
      </w:r>
      <w:r>
        <w:rPr>
          <w:rFonts w:ascii="Times New Roman" w:hAnsi="Times New Roman" w:eastAsia="仿宋_GB2312" w:cs="Times New Roman"/>
          <w:color w:val="000000"/>
          <w:kern w:val="0"/>
          <w:sz w:val="32"/>
          <w:szCs w:val="32"/>
          <w:shd w:val="clear" w:color="auto" w:fill="FFFFFF"/>
          <w:lang w:eastAsia="zh" w:bidi="ar"/>
        </w:rPr>
        <w:t>住宅的</w:t>
      </w:r>
      <w:r>
        <w:rPr>
          <w:rFonts w:ascii="Times New Roman" w:hAnsi="Times New Roman" w:eastAsia="仿宋_GB2312" w:cs="Times New Roman"/>
          <w:color w:val="000000"/>
          <w:kern w:val="0"/>
          <w:sz w:val="32"/>
          <w:szCs w:val="32"/>
          <w:shd w:val="clear" w:color="auto" w:fill="FFFFFF"/>
          <w:lang w:bidi="ar"/>
        </w:rPr>
        <w:t>分散式空调室外机位应紧邻该空调的使用房间，外窗开启扇的大小、开启方向应考虑空调安装的便利</w:t>
      </w:r>
      <w:r>
        <w:rPr>
          <w:rFonts w:ascii="Times New Roman" w:hAnsi="Times New Roman" w:eastAsia="仿宋_GB2312" w:cs="Times New Roman"/>
          <w:color w:val="000000"/>
          <w:kern w:val="0"/>
          <w:sz w:val="32"/>
          <w:szCs w:val="32"/>
          <w:shd w:val="clear" w:color="auto" w:fill="FFFFFF"/>
          <w:lang w:eastAsia="zh" w:bidi="ar"/>
        </w:rPr>
        <w:t>。</w:t>
      </w:r>
      <w:r>
        <w:rPr>
          <w:rFonts w:ascii="Times New Roman" w:hAnsi="Times New Roman" w:eastAsia="仿宋_GB2312" w:cs="Times New Roman"/>
          <w:color w:val="000000"/>
          <w:kern w:val="0"/>
          <w:sz w:val="32"/>
          <w:szCs w:val="32"/>
          <w:shd w:val="clear" w:color="auto" w:fill="FFFFFF"/>
          <w:lang w:bidi="ar"/>
        </w:rPr>
        <w:t>应充分考虑空调室外机的通风条件，确保空调室外机</w:t>
      </w:r>
      <w:r>
        <w:rPr>
          <w:rFonts w:ascii="Times New Roman" w:hAnsi="Times New Roman" w:eastAsia="仿宋_GB2312" w:cs="Times New Roman"/>
          <w:color w:val="000000"/>
          <w:kern w:val="0"/>
          <w:sz w:val="32"/>
          <w:szCs w:val="32"/>
          <w:shd w:val="clear" w:color="auto" w:fill="FFFFFF"/>
          <w:lang w:eastAsia="zh" w:bidi="ar"/>
        </w:rPr>
        <w:t>位</w:t>
      </w:r>
      <w:r>
        <w:rPr>
          <w:rFonts w:ascii="Times New Roman" w:hAnsi="Times New Roman" w:eastAsia="仿宋_GB2312" w:cs="Times New Roman"/>
          <w:color w:val="000000"/>
          <w:kern w:val="0"/>
          <w:sz w:val="32"/>
          <w:szCs w:val="32"/>
          <w:shd w:val="clear" w:color="auto" w:fill="FFFFFF"/>
          <w:lang w:bidi="ar"/>
        </w:rPr>
        <w:t>不被腰线、反坎等构件遮挡</w:t>
      </w:r>
      <w:r>
        <w:rPr>
          <w:rFonts w:ascii="Times New Roman" w:hAnsi="Times New Roman" w:eastAsia="仿宋_GB2312" w:cs="Times New Roman"/>
          <w:color w:val="000000"/>
          <w:kern w:val="0"/>
          <w:sz w:val="32"/>
          <w:szCs w:val="32"/>
          <w:shd w:val="clear" w:color="auto" w:fill="FFFFFF"/>
          <w:lang w:eastAsia="zh" w:bidi="ar"/>
        </w:rPr>
        <w:t>，采用格栅或百叶美化消隐</w:t>
      </w:r>
      <w:r>
        <w:rPr>
          <w:rFonts w:ascii="Times New Roman" w:hAnsi="Times New Roman" w:eastAsia="仿宋_GB2312" w:cs="Times New Roman"/>
          <w:color w:val="000000"/>
          <w:kern w:val="0"/>
          <w:sz w:val="32"/>
          <w:szCs w:val="32"/>
          <w:shd w:val="clear" w:color="auto" w:fill="FFFFFF"/>
          <w:lang w:bidi="ar"/>
        </w:rPr>
        <w:t>。</w:t>
      </w:r>
    </w:p>
    <w:p w14:paraId="2941E4A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3.1.11 燃气管道及设施应设置在户外，引入管处设置紧急自动切断装置，安装燃气设备的空间应配备可燃气体探测器及泄爆窗口，具备声光报警切断燃气阀功能，并且燃具具备熄火保护、防漏气和泄漏应急联动功能。新建住宅建筑方案设计阶段，建设单位应组织建筑设计院与燃气公司详细确定专用检修平台设置方案与相关要求。</w:t>
      </w:r>
    </w:p>
    <w:p w14:paraId="784AE5B3">
      <w:pPr>
        <w:rPr>
          <w:rFonts w:ascii="Times New Roman" w:hAnsi="Times New Roman" w:eastAsia="楷体"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3.1.12 有安全防护要求的部位应采用安全玻璃；开向室外或开向走廊的单元门应采取防夹伤措施。</w:t>
      </w:r>
    </w:p>
    <w:p w14:paraId="37891D7F">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3.2 提升项</w:t>
      </w:r>
    </w:p>
    <w:p w14:paraId="7E1E5D47">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安全性能</w:t>
      </w:r>
    </w:p>
    <w:p w14:paraId="6608D40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3.2.1 采用性能化设计或减隔震设计，提高建筑抗震性能，适应阜新地区抗震设防要求。</w:t>
      </w:r>
    </w:p>
    <w:p w14:paraId="54297E1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3.2.2 入户区域设置更衣、清洁、消杀空间及设备；户内排风排烟管道、空调及新风管道、地漏、排水管道等满足卫生安全要求。</w:t>
      </w:r>
    </w:p>
    <w:p w14:paraId="74A6046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3.2.3 结构设计楼屋面等效均布活荷载、风荷载、雪荷载取值在现行国家标准基础上增加10%，阳台、露台活荷载标准值取3.5kN/m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w:t>
      </w:r>
    </w:p>
    <w:p w14:paraId="57A7FE3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eastAsia="zh" w:bidi="ar"/>
        </w:rPr>
        <w:t>3.2.4</w:t>
      </w:r>
      <w:r>
        <w:rPr>
          <w:rFonts w:ascii="Times New Roman" w:hAnsi="Times New Roman" w:eastAsia="仿宋_GB2312" w:cs="Times New Roman"/>
          <w:color w:val="000000"/>
          <w:kern w:val="0"/>
          <w:sz w:val="32"/>
          <w:szCs w:val="32"/>
          <w:shd w:val="clear" w:color="auto" w:fill="FFFFFF"/>
          <w:lang w:bidi="ar"/>
        </w:rPr>
        <w:t xml:space="preserve"> </w:t>
      </w:r>
      <w:r>
        <w:rPr>
          <w:rFonts w:ascii="Times New Roman" w:hAnsi="Times New Roman" w:eastAsia="仿宋_GB2312" w:cs="Times New Roman"/>
          <w:color w:val="000000"/>
          <w:kern w:val="0"/>
          <w:sz w:val="32"/>
          <w:szCs w:val="32"/>
          <w:shd w:val="clear" w:color="auto" w:fill="FFFFFF"/>
          <w:lang w:eastAsia="zh" w:bidi="ar"/>
        </w:rPr>
        <w:t>混凝土梁中按构造要求配置的纵筋的锚固长度不宜小于纵筋直径的35倍；梁纵筋接头宜错开，并宜避开梁塑性铰</w:t>
      </w:r>
      <w:r>
        <w:rPr>
          <w:rFonts w:ascii="Times New Roman" w:hAnsi="Times New Roman" w:eastAsia="仿宋_GB2312" w:cs="Times New Roman"/>
          <w:color w:val="000000"/>
          <w:kern w:val="0"/>
          <w:sz w:val="32"/>
          <w:szCs w:val="32"/>
          <w:shd w:val="clear" w:color="auto" w:fill="FFFFFF"/>
          <w:lang w:bidi="ar"/>
        </w:rPr>
        <w:t>。</w:t>
      </w:r>
    </w:p>
    <w:p w14:paraId="49361B2D">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耐久性能</w:t>
      </w:r>
    </w:p>
    <w:p w14:paraId="4690BD0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3.2.5 结构设计工作年限不应低于50年，宜按100年进行耐久性设计，混凝土结构按《混凝土结构耐久性设计标准》GB/T50476要求选用材料，钢结构构件采用耐候结构钢，构件表面采用耐候型防腐涂料。</w:t>
      </w:r>
    </w:p>
    <w:p w14:paraId="7B41D75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3.2.6 地下室底板采用平板式筏基及抗浮板的板厚不小于400mm，应采用双层双向配筋，每层每个方向配筋率不小于0.20%；地下室外墙厚度不小于300mm，竖向和水平向分布钢筋应双层布置，直径不小于10mm，间距不大于150mm，单侧水平方向分布钢筋的配筋率不小于0.25。</w:t>
      </w:r>
    </w:p>
    <w:p w14:paraId="17F6847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3.2.7 住宅剪力墙的厚度不应小于200mm，竖向和横向分布钢筋的间距不应大于200mm。</w:t>
      </w:r>
    </w:p>
    <w:p w14:paraId="39EFA8D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3.2.8 建筑活动配件应选用长寿命产品：门反复启闭次数不应少于100000次，窗不应少于15000次；水嘴寿命达到产品标准的1.2倍，阀门达到1.5倍。应选用耐腐蚀、抗老化、耐久性好的管材。</w:t>
      </w:r>
    </w:p>
    <w:p w14:paraId="4823A58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3.2.9 室外装饰装修材料选用自洁功能水性氟涂料或耐候性相当材料，选用耐久性与建筑幕墙设计工作年限相匹配的饰面材料；室内内墙涂料耐酸洗不小于5000次，有釉陶瓷地砖耐磨性不低于4级，无釉耐磨坑体积不大于127mm</w:t>
      </w:r>
      <w:r>
        <w:rPr>
          <w:rFonts w:ascii="Times New Roman" w:hAnsi="Times New Roman" w:eastAsia="仿宋_GB2312" w:cs="Times New Roman"/>
          <w:color w:val="000000"/>
          <w:kern w:val="0"/>
          <w:sz w:val="32"/>
          <w:szCs w:val="32"/>
          <w:shd w:val="clear" w:color="auto" w:fill="FFFFFF"/>
          <w:vertAlign w:val="superscript"/>
          <w:lang w:bidi="ar"/>
        </w:rPr>
        <w:t>3</w:t>
      </w:r>
      <w:r>
        <w:rPr>
          <w:rFonts w:ascii="Times New Roman" w:hAnsi="Times New Roman" w:eastAsia="仿宋_GB2312" w:cs="Times New Roman"/>
          <w:color w:val="000000"/>
          <w:kern w:val="0"/>
          <w:sz w:val="32"/>
          <w:szCs w:val="32"/>
          <w:shd w:val="clear" w:color="auto" w:fill="FFFFFF"/>
          <w:lang w:bidi="ar"/>
        </w:rPr>
        <w:t>。</w:t>
      </w:r>
    </w:p>
    <w:p w14:paraId="5153C57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3.2.10 太阳能热利用系统中的太阳能集热器设计使用寿命应高于</w:t>
      </w:r>
      <w:r>
        <w:rPr>
          <w:rFonts w:ascii="Times New Roman" w:hAnsi="Times New Roman" w:eastAsia="仿宋_GB2312" w:cs="Times New Roman"/>
          <w:color w:val="000000"/>
          <w:kern w:val="0"/>
          <w:sz w:val="32"/>
          <w:szCs w:val="32"/>
          <w:shd w:val="clear" w:color="auto" w:fill="FFFFFF"/>
          <w:lang w:eastAsia="zh" w:bidi="ar"/>
        </w:rPr>
        <w:t>20</w:t>
      </w:r>
      <w:r>
        <w:rPr>
          <w:rFonts w:ascii="Times New Roman" w:hAnsi="Times New Roman" w:eastAsia="仿宋_GB2312" w:cs="Times New Roman"/>
          <w:color w:val="000000"/>
          <w:kern w:val="0"/>
          <w:sz w:val="32"/>
          <w:szCs w:val="32"/>
          <w:shd w:val="clear" w:color="auto" w:fill="FFFFFF"/>
          <w:lang w:bidi="ar"/>
        </w:rPr>
        <w:t>年；太阳能光伏发电系统中的光伏组件设计使用寿命应高于</w:t>
      </w:r>
      <w:r>
        <w:rPr>
          <w:rFonts w:ascii="Times New Roman" w:hAnsi="Times New Roman" w:eastAsia="仿宋_GB2312" w:cs="Times New Roman"/>
          <w:color w:val="000000"/>
          <w:kern w:val="0"/>
          <w:sz w:val="32"/>
          <w:szCs w:val="32"/>
          <w:shd w:val="clear" w:color="auto" w:fill="FFFFFF"/>
          <w:lang w:eastAsia="zh" w:bidi="ar"/>
        </w:rPr>
        <w:t>30</w:t>
      </w:r>
      <w:r>
        <w:rPr>
          <w:rFonts w:ascii="Times New Roman" w:hAnsi="Times New Roman" w:eastAsia="仿宋_GB2312" w:cs="Times New Roman"/>
          <w:color w:val="000000"/>
          <w:kern w:val="0"/>
          <w:sz w:val="32"/>
          <w:szCs w:val="32"/>
          <w:shd w:val="clear" w:color="auto" w:fill="FFFFFF"/>
          <w:lang w:bidi="ar"/>
        </w:rPr>
        <w:t>年。</w:t>
      </w:r>
    </w:p>
    <w:p w14:paraId="074BA8BB">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4 健康舒适</w:t>
      </w:r>
    </w:p>
    <w:p w14:paraId="743BC37D">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4.1 控制项</w:t>
      </w:r>
    </w:p>
    <w:p w14:paraId="13D8B29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4.1.1 小区地面通风采光井、人防楼梯间、垃圾房、配电房等附属建筑物应采取美化处理措施。</w:t>
      </w:r>
    </w:p>
    <w:p w14:paraId="2941652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4.1.2 小区临近交通干道时，应通过建筑布局、坡地绿化或隔声设施等降低噪声影响，符合现行国家标准《声环境质量标准》GB3096的要求，同时符合下列规定。</w:t>
      </w:r>
    </w:p>
    <w:p w14:paraId="21C8145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1.建筑的体形、朝向和平面布置应有利于噪声控制。卧室、起居室布置在远离噪声源一侧；</w:t>
      </w:r>
    </w:p>
    <w:p w14:paraId="7CD5796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2.住宅户内排水管应采用低噪声管材或包覆隔声材料等隔声措施；</w:t>
      </w:r>
    </w:p>
    <w:p w14:paraId="3BDF5D0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3.公共电梯井道不应相邻起居室、卧室，与住宅户内其他房间（空间）相邻时，电梯井壁、电梯设备、电梯机房均应采取有效的隔声减振措施；</w:t>
      </w:r>
    </w:p>
    <w:p w14:paraId="54F870A3">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4.应对建筑结构楼板进行舒适度设计，舒适度设计应符合《建筑楼盖结构振动舒适度技术标准》JGJ/T441的规定；</w:t>
      </w:r>
    </w:p>
    <w:p w14:paraId="74119FD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5.除厨房、卫生间外的住宅楼板厚度不应小于120mm；分户楼板两侧房间之间的计权标准化声压级差与粉红噪声频谱修正量之和（DnT,w+Ctr）不应小于50dB；分户楼板计权标准化撞击声压级L'nT,w不应大于60dB；</w:t>
      </w:r>
    </w:p>
    <w:p w14:paraId="3DDBDF5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6.分户墙应采用不小于200mm厚混凝土墙体或200mm的实心砖墙体（或其他能达到50dB以上隔声效果的构造措施），分户墙两侧房间之间的计权标准化声压级差与粉红噪声频谱修正量之和（DnT,w+Ctr）不应小于50dB；</w:t>
      </w:r>
    </w:p>
    <w:p w14:paraId="5C1CE106">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分户墙两侧同一位置的设备位置应错开，安装时不应直接穿透墙体；嵌入分户墙内的电气插座、开关、配电箱等当背对背设置时应相互错开布置。所有开洞、槽应采取隔声封堵措施。当设备管线穿过其他楼板和墙体时，孔洞应采取密封隔声措施。</w:t>
      </w:r>
    </w:p>
    <w:p w14:paraId="73E455C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4.1.3 应对室内氨、挥发性有机物、PM</w:t>
      </w:r>
      <w:r>
        <w:rPr>
          <w:rFonts w:ascii="Times New Roman" w:hAnsi="Times New Roman" w:eastAsia="仿宋_GB2312" w:cs="Times New Roman"/>
          <w:color w:val="000000"/>
          <w:kern w:val="0"/>
          <w:sz w:val="32"/>
          <w:szCs w:val="32"/>
          <w:shd w:val="clear" w:color="auto" w:fill="FFFFFF"/>
          <w:vertAlign w:val="subscript"/>
          <w:lang w:bidi="ar"/>
        </w:rPr>
        <w:t>2.5</w:t>
      </w:r>
      <w:r>
        <w:rPr>
          <w:rFonts w:ascii="Times New Roman" w:hAnsi="Times New Roman" w:eastAsia="仿宋_GB2312" w:cs="Times New Roman"/>
          <w:color w:val="000000"/>
          <w:kern w:val="0"/>
          <w:sz w:val="32"/>
          <w:szCs w:val="32"/>
          <w:shd w:val="clear" w:color="auto" w:fill="FFFFFF"/>
          <w:lang w:bidi="ar"/>
        </w:rPr>
        <w:t>等污染物浓度进行预评估，较</w:t>
      </w:r>
      <w:r>
        <w:rPr>
          <w:rFonts w:ascii="Times New Roman" w:hAnsi="Times New Roman" w:eastAsia="仿宋_GB2312" w:cs="Times New Roman"/>
          <w:color w:val="000000"/>
          <w:kern w:val="0"/>
          <w:sz w:val="32"/>
          <w:szCs w:val="32"/>
          <w:shd w:val="clear" w:color="auto" w:fill="FFFFFF"/>
          <w:lang w:eastAsia="zh" w:bidi="ar"/>
        </w:rPr>
        <w:t>《室内空气质量标准》</w:t>
      </w:r>
      <w:r>
        <w:rPr>
          <w:rFonts w:ascii="Times New Roman" w:hAnsi="Times New Roman" w:eastAsia="仿宋_GB2312" w:cs="Times New Roman"/>
          <w:color w:val="000000"/>
          <w:kern w:val="0"/>
          <w:sz w:val="32"/>
          <w:szCs w:val="32"/>
          <w:shd w:val="clear" w:color="auto" w:fill="FFFFFF"/>
          <w:lang w:bidi="ar"/>
        </w:rPr>
        <w:t>GB/T18883规定值降低20%，且符合</w:t>
      </w:r>
      <w:r>
        <w:rPr>
          <w:rFonts w:ascii="Times New Roman" w:hAnsi="Times New Roman" w:eastAsia="仿宋_GB2312" w:cs="Times New Roman"/>
          <w:color w:val="000000"/>
          <w:kern w:val="0"/>
          <w:sz w:val="32"/>
          <w:szCs w:val="32"/>
          <w:shd w:val="clear" w:color="auto" w:fill="FFFFFF"/>
          <w:lang w:eastAsia="zh" w:bidi="ar"/>
        </w:rPr>
        <w:t>《建筑环境通用规范》</w:t>
      </w:r>
      <w:r>
        <w:rPr>
          <w:rFonts w:ascii="Times New Roman" w:hAnsi="Times New Roman" w:eastAsia="仿宋_GB2312" w:cs="Times New Roman"/>
          <w:color w:val="000000"/>
          <w:kern w:val="0"/>
          <w:sz w:val="32"/>
          <w:szCs w:val="32"/>
          <w:shd w:val="clear" w:color="auto" w:fill="FFFFFF"/>
          <w:lang w:bidi="ar"/>
        </w:rPr>
        <w:t>GB55016要求。</w:t>
      </w:r>
    </w:p>
    <w:p w14:paraId="72526DE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4.1.4 建筑出入口、可开启窗户等周围10m范围内禁止吸烟，在住宅建筑入口、电梯等公共空间设置明显禁烟标识。</w:t>
      </w:r>
    </w:p>
    <w:p w14:paraId="4BF84B0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4.1.5 厨房、卫生间采取防止串烟串味措施，设置机械排风系统，连接主排风管或排风竖井的排风支管设置止回阀，排风竖井顶部应设置防止室外风倒灌的措施；卫生间地漏应具备防返溢、防异味功能，洗衣机专用地漏应具备防反溢、防干涸功能。</w:t>
      </w:r>
    </w:p>
    <w:p w14:paraId="0CD913C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4.1.6 </w:t>
      </w:r>
      <w:r>
        <w:rPr>
          <w:rFonts w:ascii="Times New Roman" w:hAnsi="Times New Roman" w:eastAsia="仿宋_GB2312" w:cs="Times New Roman"/>
          <w:color w:val="000000"/>
          <w:kern w:val="0"/>
          <w:sz w:val="32"/>
          <w:szCs w:val="32"/>
          <w:shd w:val="clear" w:color="auto" w:fill="FFFFFF"/>
          <w:lang w:eastAsia="zh" w:bidi="ar"/>
        </w:rPr>
        <w:t>地下车库不满足自然通风要求时，应</w:t>
      </w:r>
      <w:r>
        <w:rPr>
          <w:rFonts w:ascii="Times New Roman" w:hAnsi="Times New Roman" w:eastAsia="仿宋_GB2312" w:cs="Times New Roman"/>
          <w:color w:val="000000"/>
          <w:kern w:val="0"/>
          <w:sz w:val="32"/>
          <w:szCs w:val="32"/>
          <w:shd w:val="clear" w:color="auto" w:fill="FFFFFF"/>
          <w:lang w:bidi="ar"/>
        </w:rPr>
        <w:t>设置与排风设备联动的CO浓度监测装置，当CO浓度超过30～40</w:t>
      </w:r>
      <w:r>
        <w:rPr>
          <w:rFonts w:ascii="Times New Roman" w:hAnsi="Times New Roman" w:eastAsia="仿宋_GB2312" w:cs="Times New Roman"/>
          <w:color w:val="000000"/>
          <w:kern w:val="0"/>
          <w:sz w:val="32"/>
          <w:szCs w:val="32"/>
          <w:shd w:val="clear" w:color="auto" w:fill="FFFFFF"/>
          <w:lang w:eastAsia="zh" w:bidi="ar"/>
        </w:rPr>
        <w:t>ppm</w:t>
      </w:r>
      <w:r>
        <w:rPr>
          <w:rFonts w:ascii="Times New Roman" w:hAnsi="Times New Roman" w:eastAsia="仿宋_GB2312" w:cs="Times New Roman"/>
          <w:color w:val="000000"/>
          <w:kern w:val="0"/>
          <w:sz w:val="32"/>
          <w:szCs w:val="32"/>
          <w:shd w:val="clear" w:color="auto" w:fill="FFFFFF"/>
          <w:lang w:bidi="ar"/>
        </w:rPr>
        <w:t>时，排风设备能自动启动</w:t>
      </w:r>
      <w:r>
        <w:rPr>
          <w:rFonts w:ascii="Times New Roman" w:hAnsi="Times New Roman" w:eastAsia="仿宋_GB2312" w:cs="Times New Roman"/>
          <w:color w:val="000000"/>
          <w:kern w:val="0"/>
          <w:sz w:val="32"/>
          <w:szCs w:val="32"/>
          <w:shd w:val="clear" w:color="auto" w:fill="FFFFFF"/>
          <w:lang w:eastAsia="zh" w:bidi="ar"/>
        </w:rPr>
        <w:t>，</w:t>
      </w:r>
      <w:r>
        <w:rPr>
          <w:rFonts w:ascii="Times New Roman" w:hAnsi="Times New Roman" w:eastAsia="仿宋_GB2312" w:cs="Times New Roman"/>
          <w:color w:val="000000"/>
          <w:kern w:val="0"/>
          <w:sz w:val="32"/>
          <w:szCs w:val="32"/>
          <w:shd w:val="clear" w:color="auto" w:fill="FFFFFF"/>
          <w:lang w:bidi="ar"/>
        </w:rPr>
        <w:t>CO监测</w:t>
      </w:r>
      <w:r>
        <w:rPr>
          <w:rFonts w:ascii="Times New Roman" w:hAnsi="Times New Roman" w:eastAsia="仿宋_GB2312" w:cs="Times New Roman"/>
          <w:color w:val="000000"/>
          <w:kern w:val="0"/>
          <w:sz w:val="32"/>
          <w:szCs w:val="32"/>
          <w:shd w:val="clear" w:color="auto" w:fill="FFFFFF"/>
          <w:lang w:eastAsia="zh" w:bidi="ar"/>
        </w:rPr>
        <w:t>装置应保证每个防火分区至少1个，当单个防火分区面积较大时，应该保证每300～400m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eastAsia="zh" w:bidi="ar"/>
        </w:rPr>
        <w:t>布置1个。</w:t>
      </w:r>
    </w:p>
    <w:p w14:paraId="3BD72F0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4.1.7 生活饮用水水质符合《生活饮用水卫生标准》GB5749要求，直饮水符合《饮用净水水质标准》CJ94要求；小区设置水质在线监测系统，监测结果可通过户内信息化系统或小区信息屏显示。</w:t>
      </w:r>
    </w:p>
    <w:p w14:paraId="768D667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4.1.8 卫生间采用同层排水技术；</w:t>
      </w:r>
    </w:p>
    <w:p w14:paraId="781FB70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4.1.9 卧室、起居室等主要房间直接采光，窗地面积比不低于1/7。</w:t>
      </w:r>
    </w:p>
    <w:p w14:paraId="69C9B10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4.1.10 </w:t>
      </w:r>
      <w:r>
        <w:rPr>
          <w:rFonts w:ascii="Times New Roman" w:hAnsi="Times New Roman" w:eastAsia="仿宋_GB2312" w:cs="Times New Roman"/>
          <w:color w:val="000000"/>
          <w:kern w:val="0"/>
          <w:sz w:val="32"/>
          <w:szCs w:val="32"/>
          <w:shd w:val="clear" w:color="auto" w:fill="FFFFFF"/>
          <w:lang w:eastAsia="zh" w:bidi="ar"/>
        </w:rPr>
        <w:t>建筑照明应符合下列规定</w:t>
      </w:r>
      <w:r>
        <w:rPr>
          <w:rFonts w:ascii="Times New Roman" w:hAnsi="Times New Roman" w:eastAsia="仿宋_GB2312" w:cs="Times New Roman"/>
          <w:color w:val="000000"/>
          <w:kern w:val="0"/>
          <w:sz w:val="32"/>
          <w:szCs w:val="32"/>
          <w:shd w:val="clear" w:color="auto" w:fill="FFFFFF"/>
          <w:lang w:bidi="ar"/>
        </w:rPr>
        <w:t>：</w:t>
      </w:r>
    </w:p>
    <w:p w14:paraId="62F00E6D">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1 </w:t>
      </w:r>
      <w:r>
        <w:rPr>
          <w:rFonts w:ascii="Times New Roman" w:hAnsi="Times New Roman" w:eastAsia="仿宋_GB2312" w:cs="Times New Roman"/>
          <w:color w:val="000000"/>
          <w:kern w:val="0"/>
          <w:sz w:val="32"/>
          <w:szCs w:val="32"/>
          <w:shd w:val="clear" w:color="auto" w:fill="FFFFFF"/>
          <w:lang w:eastAsia="zh" w:bidi="ar"/>
        </w:rPr>
        <w:t>各场所的照度、照度均匀度、显色指数、统一眩光值应符合现行国家标准《建筑照明设计标准》GB/T50034的规定</w:t>
      </w:r>
      <w:r>
        <w:rPr>
          <w:rFonts w:ascii="Times New Roman" w:hAnsi="Times New Roman" w:eastAsia="仿宋_GB2312" w:cs="Times New Roman"/>
          <w:color w:val="000000"/>
          <w:kern w:val="0"/>
          <w:sz w:val="32"/>
          <w:szCs w:val="32"/>
          <w:shd w:val="clear" w:color="auto" w:fill="FFFFFF"/>
          <w:lang w:bidi="ar"/>
        </w:rPr>
        <w:t>；</w:t>
      </w:r>
    </w:p>
    <w:p w14:paraId="1ACB379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2 </w:t>
      </w:r>
      <w:r>
        <w:rPr>
          <w:rFonts w:ascii="Times New Roman" w:hAnsi="Times New Roman" w:eastAsia="仿宋_GB2312" w:cs="Times New Roman"/>
          <w:color w:val="000000"/>
          <w:kern w:val="0"/>
          <w:sz w:val="32"/>
          <w:szCs w:val="32"/>
          <w:shd w:val="clear" w:color="auto" w:fill="FFFFFF"/>
          <w:lang w:eastAsia="zh" w:bidi="ar"/>
        </w:rPr>
        <w:t>人员长期停留的房间或场所采用的照明光源和灯具，其频闪效应可视度（SVM）不应大于</w:t>
      </w:r>
      <w:r>
        <w:rPr>
          <w:rFonts w:ascii="Times New Roman" w:hAnsi="Times New Roman" w:eastAsia="仿宋_GB2312" w:cs="Times New Roman"/>
          <w:color w:val="000000"/>
          <w:kern w:val="0"/>
          <w:sz w:val="32"/>
          <w:szCs w:val="32"/>
          <w:shd w:val="clear" w:color="auto" w:fill="FFFFFF"/>
          <w:lang w:bidi="ar"/>
        </w:rPr>
        <w:t>1.3</w:t>
      </w:r>
      <w:r>
        <w:rPr>
          <w:rFonts w:ascii="Times New Roman" w:hAnsi="Times New Roman" w:eastAsia="仿宋_GB2312" w:cs="Times New Roman"/>
          <w:color w:val="000000"/>
          <w:kern w:val="0"/>
          <w:sz w:val="32"/>
          <w:szCs w:val="32"/>
          <w:shd w:val="clear" w:color="auto" w:fill="FFFFFF"/>
          <w:lang w:eastAsia="zh" w:bidi="ar"/>
        </w:rPr>
        <w:t>；</w:t>
      </w:r>
    </w:p>
    <w:p w14:paraId="1B42D07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eastAsia="zh" w:bidi="ar"/>
        </w:rPr>
        <w:t>3 公共区域的照明系统应采用分区、定时、感应等节能控制；采光区域的照明控制应独立于其他区域的照明控制。</w:t>
      </w:r>
    </w:p>
    <w:p w14:paraId="6195AFD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4.1.11 卧室、起居室供暖室内设计温度不低于20℃，有淋浴器的卫生间沐浴时室温不低于25℃；户内预留双向新风换气系统安装条件；主要功能房间应具有独立控制的热环境调节措施。</w:t>
      </w:r>
    </w:p>
    <w:p w14:paraId="4163370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w:t>
      </w:r>
      <w:r>
        <w:rPr>
          <w:rFonts w:ascii="Times New Roman" w:hAnsi="Times New Roman" w:eastAsia="仿宋_GB2312" w:cs="Times New Roman"/>
          <w:color w:val="000000"/>
          <w:kern w:val="0"/>
          <w:sz w:val="32"/>
          <w:szCs w:val="32"/>
          <w:shd w:val="clear" w:color="auto" w:fill="FFFFFF"/>
          <w:lang w:eastAsia="zh" w:bidi="ar"/>
        </w:rPr>
        <w:t xml:space="preserve">.1.12 </w:t>
      </w:r>
      <w:r>
        <w:rPr>
          <w:rFonts w:ascii="Times New Roman" w:hAnsi="Times New Roman" w:eastAsia="仿宋_GB2312" w:cs="Times New Roman"/>
          <w:color w:val="000000"/>
          <w:kern w:val="0"/>
          <w:sz w:val="32"/>
          <w:szCs w:val="32"/>
          <w:shd w:val="clear" w:color="auto" w:fill="FFFFFF"/>
          <w:lang w:bidi="ar"/>
        </w:rPr>
        <w:t>围护结构热工性能应符合下列规定：</w:t>
      </w:r>
    </w:p>
    <w:p w14:paraId="072229DB">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1 </w:t>
      </w:r>
      <w:r>
        <w:rPr>
          <w:rFonts w:ascii="Times New Roman" w:hAnsi="Times New Roman" w:eastAsia="仿宋_GB2312" w:cs="Times New Roman"/>
          <w:color w:val="000000"/>
          <w:kern w:val="0"/>
          <w:sz w:val="32"/>
          <w:szCs w:val="32"/>
          <w:shd w:val="clear" w:color="auto" w:fill="FFFFFF"/>
          <w:lang w:eastAsia="zh" w:bidi="ar"/>
        </w:rPr>
        <w:t>在室内设计温湿度条件下，建筑非透光</w:t>
      </w:r>
      <w:r>
        <w:rPr>
          <w:rFonts w:ascii="Times New Roman" w:hAnsi="Times New Roman" w:eastAsia="仿宋_GB2312" w:cs="Times New Roman"/>
          <w:color w:val="000000"/>
          <w:kern w:val="0"/>
          <w:sz w:val="32"/>
          <w:szCs w:val="32"/>
          <w:shd w:val="clear" w:color="auto" w:fill="FFFFFF"/>
          <w:lang w:bidi="ar"/>
        </w:rPr>
        <w:t>围</w:t>
      </w:r>
      <w:r>
        <w:rPr>
          <w:rFonts w:ascii="Times New Roman" w:hAnsi="Times New Roman" w:eastAsia="仿宋_GB2312" w:cs="Times New Roman"/>
          <w:color w:val="000000"/>
          <w:kern w:val="0"/>
          <w:sz w:val="32"/>
          <w:szCs w:val="32"/>
          <w:shd w:val="clear" w:color="auto" w:fill="FFFFFF"/>
          <w:lang w:eastAsia="zh" w:bidi="ar"/>
        </w:rPr>
        <w:t>护结构内表面不得结露</w:t>
      </w:r>
      <w:r>
        <w:rPr>
          <w:rFonts w:ascii="Times New Roman" w:hAnsi="Times New Roman" w:eastAsia="仿宋_GB2312" w:cs="Times New Roman"/>
          <w:color w:val="000000"/>
          <w:kern w:val="0"/>
          <w:sz w:val="32"/>
          <w:szCs w:val="32"/>
          <w:shd w:val="clear" w:color="auto" w:fill="FFFFFF"/>
          <w:lang w:bidi="ar"/>
        </w:rPr>
        <w:t>；</w:t>
      </w:r>
    </w:p>
    <w:p w14:paraId="049E3B70">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 xml:space="preserve">2 </w:t>
      </w:r>
      <w:r>
        <w:rPr>
          <w:rFonts w:ascii="Times New Roman" w:hAnsi="Times New Roman" w:eastAsia="仿宋_GB2312" w:cs="Times New Roman"/>
          <w:color w:val="000000"/>
          <w:kern w:val="0"/>
          <w:sz w:val="32"/>
          <w:szCs w:val="32"/>
          <w:shd w:val="clear" w:color="auto" w:fill="FFFFFF"/>
          <w:lang w:eastAsia="zh" w:bidi="ar"/>
        </w:rPr>
        <w:t>供暖建筑的屋面、外墙内部不应产生冷凝</w:t>
      </w:r>
      <w:r>
        <w:rPr>
          <w:rFonts w:ascii="Times New Roman" w:hAnsi="Times New Roman" w:eastAsia="仿宋_GB2312" w:cs="Times New Roman"/>
          <w:color w:val="000000"/>
          <w:kern w:val="0"/>
          <w:sz w:val="32"/>
          <w:szCs w:val="32"/>
          <w:shd w:val="clear" w:color="auto" w:fill="FFFFFF"/>
          <w:lang w:bidi="ar"/>
        </w:rPr>
        <w:t>。</w:t>
      </w:r>
    </w:p>
    <w:p w14:paraId="3401009D">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4.2 提升项</w:t>
      </w:r>
    </w:p>
    <w:p w14:paraId="5424E8DA">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生态健康</w:t>
      </w:r>
    </w:p>
    <w:p w14:paraId="33607CA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 小区植物采用乔、灌、草多层级搭配，注重季相变化，结合建筑立面配置垂直绿化、屋顶绿化等立体绿化系统，地面停车区域采用树阵或棚架布置绿化停车场，边角地、闲置地宜改造建设口袋公园。</w:t>
      </w:r>
    </w:p>
    <w:p w14:paraId="501EB7A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4.2.2 利用地形地貌优化建筑布局，冬季增加日照、降低冷风影响，夏季促进自然通风，缓解热岛效应。</w:t>
      </w:r>
    </w:p>
    <w:p w14:paraId="18544A4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4.2.3 室外检查井不应设置在主要人行、车行通道上，应设置在靠近道路绿地内，若需设置在通道上应采用装饰性井盖；地下市政管线不应穿越私人庭院。</w:t>
      </w:r>
    </w:p>
    <w:p w14:paraId="6725C75F">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环境安静</w:t>
      </w:r>
    </w:p>
    <w:p w14:paraId="503EE86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4.2.4 建筑主要功能房间的噪声级限值应符合以下要求：起居室昼间噪声级不大于35dB（A），卧室昼间不大于40dB（A）、夜间不大于30dB（A）。</w:t>
      </w:r>
    </w:p>
    <w:p w14:paraId="6749C2D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4.2.5 除厨房、卫生间外的住宅楼板采用空心叠合板，厚度不小于180mm，撞击声隔声性能</w:t>
      </w:r>
      <w:r>
        <w:rPr>
          <w:rFonts w:ascii="Times New Roman" w:hAnsi="Times New Roman" w:eastAsia="仿宋_GB2312" w:cs="Times New Roman"/>
          <w:color w:val="000000"/>
          <w:kern w:val="0"/>
          <w:sz w:val="32"/>
          <w:szCs w:val="32"/>
          <w:shd w:val="clear" w:color="auto" w:fill="FFFFFF"/>
          <w:lang w:eastAsia="zh" w:bidi="ar"/>
        </w:rPr>
        <w:t>（计权标准化撞击声压级</w:t>
      </w:r>
      <w:r>
        <w:rPr>
          <w:rFonts w:ascii="Times New Roman" w:hAnsi="Times New Roman" w:eastAsia="仿宋_GB2312" w:cs="Times New Roman"/>
          <w:color w:val="000000"/>
          <w:kern w:val="0"/>
          <w:sz w:val="32"/>
          <w:szCs w:val="32"/>
          <w:shd w:val="clear" w:color="auto" w:fill="FFFFFF"/>
          <w:lang w:bidi="ar"/>
        </w:rPr>
        <w:t>L'nT,w</w:t>
      </w:r>
      <w:r>
        <w:rPr>
          <w:rFonts w:ascii="Times New Roman" w:hAnsi="Times New Roman" w:eastAsia="仿宋_GB2312" w:cs="Times New Roman"/>
          <w:color w:val="000000"/>
          <w:kern w:val="0"/>
          <w:sz w:val="32"/>
          <w:szCs w:val="32"/>
          <w:shd w:val="clear" w:color="auto" w:fill="FFFFFF"/>
          <w:lang w:eastAsia="zh" w:bidi="ar"/>
        </w:rPr>
        <w:t>）≤55dB</w:t>
      </w:r>
      <w:r>
        <w:rPr>
          <w:rFonts w:ascii="Times New Roman" w:hAnsi="Times New Roman" w:eastAsia="仿宋_GB2312" w:cs="Times New Roman"/>
          <w:color w:val="000000"/>
          <w:kern w:val="0"/>
          <w:sz w:val="32"/>
          <w:szCs w:val="32"/>
          <w:shd w:val="clear" w:color="auto" w:fill="FFFFFF"/>
          <w:lang w:bidi="ar"/>
        </w:rPr>
        <w:t>。</w:t>
      </w:r>
    </w:p>
    <w:p w14:paraId="6E8B2C0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4.2.6 空调机组应进行消声隔振处理，新风热回收装置的新风出口处和排风入口处应设置消声装置及软连接。在新风管进入卧室、起居室等房间前宜在管道上设置消声器或消声弯头。机组不应靠近声环境要求较高的房间。</w:t>
      </w:r>
    </w:p>
    <w:p w14:paraId="5D0952A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4.2.7 当设备管线穿过楼板和墙体时，孔洞应采取密封隔声措施。</w:t>
      </w:r>
    </w:p>
    <w:p w14:paraId="32D63D8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4.2.8 宜对交通干道的噪声采取设置声屏障或利用景观绿化带等降噪措施，优化场地声环境。</w:t>
      </w:r>
    </w:p>
    <w:p w14:paraId="0FAB0599">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Ⅲ 空气清新</w:t>
      </w:r>
    </w:p>
    <w:p w14:paraId="2905888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4.2.9 室内装饰材料采用E0级低甲醛建材，主要功能房间多孔材料甲醛释放率不高于0.05mg/（m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・h）。</w:t>
      </w:r>
    </w:p>
    <w:p w14:paraId="3B6627D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4.2.10 卧室、起居室等长期停留房间安装可调节双向新风换气系统，具备除尘、降霾、热量回收功能，设置二氧化硫、二氧化氮、一氧化碳、PM</w:t>
      </w:r>
      <w:r>
        <w:rPr>
          <w:rFonts w:ascii="Times New Roman" w:hAnsi="Times New Roman" w:eastAsia="仿宋_GB2312" w:cs="Times New Roman"/>
          <w:color w:val="000000"/>
          <w:kern w:val="0"/>
          <w:sz w:val="32"/>
          <w:szCs w:val="32"/>
          <w:shd w:val="clear" w:color="auto" w:fill="FFFFFF"/>
          <w:vertAlign w:val="subscript"/>
          <w:lang w:bidi="ar"/>
        </w:rPr>
        <w:t>10</w:t>
      </w:r>
      <w:r>
        <w:rPr>
          <w:rFonts w:ascii="Times New Roman" w:hAnsi="Times New Roman" w:eastAsia="仿宋_GB2312" w:cs="Times New Roman"/>
          <w:color w:val="000000"/>
          <w:kern w:val="0"/>
          <w:sz w:val="32"/>
          <w:szCs w:val="32"/>
          <w:shd w:val="clear" w:color="auto" w:fill="FFFFFF"/>
          <w:lang w:bidi="ar"/>
        </w:rPr>
        <w:t>、PM</w:t>
      </w:r>
      <w:r>
        <w:rPr>
          <w:rFonts w:ascii="Times New Roman" w:hAnsi="Times New Roman" w:eastAsia="仿宋_GB2312" w:cs="Times New Roman"/>
          <w:color w:val="000000"/>
          <w:kern w:val="0"/>
          <w:sz w:val="32"/>
          <w:szCs w:val="32"/>
          <w:shd w:val="clear" w:color="auto" w:fill="FFFFFF"/>
          <w:vertAlign w:val="subscript"/>
          <w:lang w:bidi="ar"/>
        </w:rPr>
        <w:t>2.5</w:t>
      </w:r>
      <w:r>
        <w:rPr>
          <w:rFonts w:ascii="Times New Roman" w:hAnsi="Times New Roman" w:eastAsia="仿宋_GB2312" w:cs="Times New Roman"/>
          <w:color w:val="000000"/>
          <w:kern w:val="0"/>
          <w:sz w:val="32"/>
          <w:szCs w:val="32"/>
          <w:shd w:val="clear" w:color="auto" w:fill="FFFFFF"/>
          <w:lang w:bidi="ar"/>
        </w:rPr>
        <w:t>等实时监测系统。</w:t>
      </w:r>
    </w:p>
    <w:p w14:paraId="13757F6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4.2.11 采用防止排水系统返臭气的措施，并保证高层住宅排水立管的排水能力不小于排水管道设计秒流量1.6倍。</w:t>
      </w:r>
    </w:p>
    <w:p w14:paraId="0F4B651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4.2.12 干湿分离卫生间干区不宜设置地漏。</w:t>
      </w:r>
    </w:p>
    <w:p w14:paraId="5669DCD5">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Ⅳ 水质健康</w:t>
      </w:r>
    </w:p>
    <w:p w14:paraId="5B49301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4.2.13 预留全屋净水系统安装空间及给排水条件；户内给水管道采用不锈钢管或铜管。</w:t>
      </w:r>
    </w:p>
    <w:p w14:paraId="1DABC34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4.2.14 淋浴器设置带温度显示功能的恒温混水阀。</w:t>
      </w:r>
    </w:p>
    <w:p w14:paraId="0F600B89">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Ⅴ 光照良好</w:t>
      </w:r>
    </w:p>
    <w:p w14:paraId="41EA282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4.2.15 每套住宅应满足大寒日2小时日照标准，套型内满足日照标准要求的居住空间数量应满足下列规定：居室数量不大于2个时，不应少于一个；居室数量3个时不少于2；个居住空间达标，4个及以上时不少于3个。</w:t>
      </w:r>
    </w:p>
    <w:p w14:paraId="3DAAEBB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4.2.16 当采用自然采光时，采用可移动窗帘、反射式遮阳设施等避免太阳直射眩光。</w:t>
      </w:r>
    </w:p>
    <w:p w14:paraId="6ABC4D0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4.2.17 户内宜设置照度、色温可调节的照明设备。室内照明的一般空间统一眩光值UGR不宜大于21，书写阅读空间统一眩光值UGR不宜大于19。</w:t>
      </w:r>
    </w:p>
    <w:p w14:paraId="3AE43EC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4.2.18 车库宜设置下沉庭院、采光井或导光管等自然采光措施。车库车道处照度标准值不小于75 lx，停车位不小于50 lx。</w:t>
      </w:r>
    </w:p>
    <w:p w14:paraId="2C843CFD">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VI 热湿均衡</w:t>
      </w:r>
    </w:p>
    <w:p w14:paraId="398C5B9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4.2.19 地下室等潮湿环境敷设的管道、设备、附件等应采取防结露措施。地下车库宜设置除湿设备，地下车库单元门厅内宜设置空调或除湿设备。</w:t>
      </w:r>
    </w:p>
    <w:p w14:paraId="775A69A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4.2.20 住宅围护结构宜采取防霉抗菌措施。围护结构内表面宜采用抑制霉菌、嗜肺军团菌、β-溶血性链球菌等滋生的材料，涂抹防霉抗菌涂料。围护结构接缝处宜填充防霉密封胶或填缝剂。</w:t>
      </w:r>
    </w:p>
    <w:p w14:paraId="0AB861C4">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5 宜居便利</w:t>
      </w:r>
    </w:p>
    <w:p w14:paraId="420CA157">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5.1 控制项</w:t>
      </w:r>
    </w:p>
    <w:p w14:paraId="0CDB611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 小区应结合实际营造全龄友好环境，设置集中绿地、健身场地、老年人及儿童活动场地，人均集中绿地不小于 0.5m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，集中绿地宽度不小于8m，在标准的建筑日照阴影线外绿地面积占比不小于1/3。</w:t>
      </w:r>
    </w:p>
    <w:p w14:paraId="0EC3F4B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5.1.2 建筑室内外公共区域、主要出入口、室外场地、公共绿地、城市道路等之间应设置连贯的无障碍</w:t>
      </w:r>
      <w:r>
        <w:rPr>
          <w:rFonts w:hint="eastAsia" w:ascii="Times New Roman" w:hAnsi="Times New Roman" w:eastAsia="仿宋_GB2312" w:cs="Times New Roman"/>
          <w:color w:val="000000"/>
          <w:kern w:val="0"/>
          <w:sz w:val="32"/>
          <w:szCs w:val="32"/>
          <w:shd w:val="clear" w:color="auto" w:fill="FFFFFF"/>
          <w:lang w:bidi="ar"/>
        </w:rPr>
        <w:t>通</w:t>
      </w:r>
      <w:r>
        <w:rPr>
          <w:rFonts w:ascii="Times New Roman" w:hAnsi="Times New Roman" w:eastAsia="仿宋_GB2312" w:cs="Times New Roman"/>
          <w:color w:val="000000"/>
          <w:kern w:val="0"/>
          <w:sz w:val="32"/>
          <w:szCs w:val="32"/>
          <w:shd w:val="clear" w:color="auto" w:fill="FFFFFF"/>
          <w:lang w:bidi="ar"/>
        </w:rPr>
        <w:t>行系统。</w:t>
      </w:r>
    </w:p>
    <w:p w14:paraId="2616340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5.1.3 小区内应合理设置健身场地和空间。室外健身场地面积不少于总用地面积的0.5%；设置宽度不少于1.25m的专用健身慢行道，长度不少于用地红线周长的1/4且不小于100m，起止位置应有明显标识；室内健身空间面积不少于地上建筑面积的0.3%且不小于60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；健身场地及慢行道应与夜间照明，地面应采用适合运动的环保柔性材料。</w:t>
      </w:r>
    </w:p>
    <w:p w14:paraId="29E1B0B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5.1.4 小区主要出入口前应设置进深不小于10m的缓冲空间，便于小区平急两用及各种流线的组织及分隔；小区内应实行人车分流，当设置地面机动车停车位时，应沿外围车行道路布置，不得与人行道路交叉。小区内道路系统应便捷通畅，满足消防、急救、环卫、减灾、救灾、搬家等要求，确保急救车辆可达每栋建筑出入口。</w:t>
      </w:r>
    </w:p>
    <w:p w14:paraId="2563A00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5.1.5 非机动车、电动自行车停车棚应位置合理，便于出行。充电设施安装到位并设置计量装置。</w:t>
      </w:r>
    </w:p>
    <w:p w14:paraId="7F12313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5.1.6 合理布置垃圾分类收集设施和环卫清运系统，生活垃圾分类收集场所、设施和收集率应符合城市管理规定。小区应设置垃圾周转点、宠物排泄物收集设施，单元的地上、地下出入口附近应设置垃圾收集点。</w:t>
      </w:r>
    </w:p>
    <w:p w14:paraId="289E4C4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5.1.7 小区场地应当按城市规划确定的控制标高做好竖向设计，与城市道路或相邻地块之间高差较大时应采取有效的防倒灌措施。地下车库出入口，应设置在竖向高点区域位置。</w:t>
      </w:r>
    </w:p>
    <w:p w14:paraId="42F7C53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5.1.8 住宅层高不应小于3.0m，卧室、起居室室内净高不应低于2.6m，局部净高不应低于2.2m，且局部净高低于2.6m的面积不应大于使用面积的1/3。当利用坡屋顶内空间作卧室、起居室时，室内净高不低于2.2m的使用面积不应小于室内使用面积的1/2。</w:t>
      </w:r>
    </w:p>
    <w:p w14:paraId="4750E32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5.1.9 住宅套内至少有1间起居室或卧室，与餐厅、厨房和卫生间的高差应满足无障碍要求。</w:t>
      </w:r>
    </w:p>
    <w:p w14:paraId="13A0986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5.1.10 入户层为4层及以上的住宅，每单元至少设置1部可容纳担架的电梯，采用双电源配置；电梯轿厢长边不小于1.6m、短边不小于1.5m或宽度不小于1.1m、深度不小于2.1m。</w:t>
      </w:r>
    </w:p>
    <w:p w14:paraId="230010C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5.1.11 新建住宅配建停车位应100%建设充电设施或 预留充电设施安装条件，将电缆桥架、保护套管、电缆管廊、电缆配备至所有固定车位，与主体建筑同步设计、施工、验收。电动汽车充电设施安装到位数量不低于10%。</w:t>
      </w:r>
    </w:p>
    <w:p w14:paraId="263DD23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5.1.12地下车库内小型汽车车位，采用垂直式停车时，车位宽度不应小于2.5m，长度不应小于5.3m。</w:t>
      </w:r>
    </w:p>
    <w:p w14:paraId="503332D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5.1.13场地人行出入口500m内应设有公共交通站点或配备联系公共交通站点的接驳车。</w:t>
      </w:r>
    </w:p>
    <w:p w14:paraId="6540D21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5.1.14商业部分应独立设置且与住宅分离，不得以裙房形式设置，独立商业建筑退让用地红线不小于12m。</w:t>
      </w:r>
    </w:p>
    <w:p w14:paraId="1090B4E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5.1.15沿主要城市道路的建筑立面应采用公建化立面设计，不应设置阳台和外观明显的消防连廊。新建小区建筑立面应对空调设置进行一体化设计，统一遮挡，并保证空调安装方便、安全。</w:t>
      </w:r>
    </w:p>
    <w:p w14:paraId="3FEB701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5.1.16临主要街路退线空间内不得设置机动车停车位，可安排临时落客区，建筑前区应与规划绿化用地、城市道路慢行空间进行一体化设计，统一实施。</w:t>
      </w:r>
    </w:p>
    <w:p w14:paraId="7B4736E0">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5.2 提升项</w:t>
      </w:r>
    </w:p>
    <w:p w14:paraId="2CBA005B">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环境宜居</w:t>
      </w:r>
    </w:p>
    <w:p w14:paraId="4E67F9C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 小区主入口应设置大堂，布置物业前台、会客区、公共卫生间等功能；单元入口进行高差处理，入户处的道路标高适当抬高，降低入口台阶高度。鼓励设置平坡入户，避免设置台阶。</w:t>
      </w:r>
    </w:p>
    <w:p w14:paraId="405CBF2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 高层住宅主要居室与相邻建筑窗户直视距离不小于18m，多层住宅不小于15m；地下车库排风井不与住宅居住空间窗户贴邻。</w:t>
      </w:r>
    </w:p>
    <w:p w14:paraId="12FE9A5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5.2.3小区内水泵房、变电所、换热站等设备用房布置在地下室时，在竖向和水平向应与住宅套内房间间距大于9.0m。</w:t>
      </w:r>
    </w:p>
    <w:p w14:paraId="73002B0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5.2.4地下汽车库出入口坡道设计应满足以下要求：</w:t>
      </w:r>
    </w:p>
    <w:p w14:paraId="1008B452">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坡道与住宅东西山墙之间的距离不应小于1.0m，与住宅南北向设有外窗的外墙之间的距离应不小于10m；</w:t>
      </w:r>
    </w:p>
    <w:p w14:paraId="156BDDA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单车道净宽度：直线式坡道不小于4.0m，曲线式坡道不小于5.0m；双车道净宽度：直线式坡道不小于7.0m，曲线式坡道不小于7.5m；</w:t>
      </w:r>
    </w:p>
    <w:p w14:paraId="793087BD">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 地库的坡道地上出口与室外道路垂直相接时，从坡道起坡点到道路边线应设不小于7.5m的缓冲空间，且应有良好的通视条件；</w:t>
      </w:r>
    </w:p>
    <w:p w14:paraId="482FC9B3">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 地下汽车库出入口坡道上部应设置或预留防水闸安装的位置。有条件时，可采用自动防水闸。应在每个地下车库出入口附近设置或预留应急防汛物资储存空间或收纳柜。</w:t>
      </w:r>
    </w:p>
    <w:p w14:paraId="1CFAC9A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5.2.5 小区内老年活动场地应与儿童活动场地相邻布置，与周边道路等应有无障碍连接；场地应适当设置遮阳挡雨设施及休息座椅，座椅数量不宜少于6个；场地100m范围内设置公共厕所、饮水处等设施。</w:t>
      </w:r>
    </w:p>
    <w:p w14:paraId="12F96FF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5.2.6 老年人、儿童活动场地及健身场地的边缘应远离住宅建筑，与居民窗户的距离不应小于8.0m，避免对居民的正常生活造成干扰。</w:t>
      </w:r>
    </w:p>
    <w:p w14:paraId="74515C7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5.2.7 室外健身场地内健身设施的台数不小于建筑总人数的1%，且种类不小于4种。</w:t>
      </w:r>
    </w:p>
    <w:p w14:paraId="02DBAF2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5.2.8 在满足规划条件及相关配置标准规定的前提下，应增设小区公益性服务设施，如小区食堂、图书馆、老年活动站、健身房等。同时应设置多种交往空间，用作公共活动使用，如风雨连廊、对内开放使用的公共会所等。</w:t>
      </w:r>
    </w:p>
    <w:p w14:paraId="30911F9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highlight w:val="none"/>
          <w:shd w:val="clear" w:color="auto" w:fill="FFFFFF"/>
          <w:lang w:bidi="ar"/>
        </w:rPr>
        <w:t>5.2.9</w:t>
      </w:r>
      <w:r>
        <w:rPr>
          <w:rFonts w:ascii="Times New Roman" w:hAnsi="Times New Roman" w:eastAsia="仿宋_GB2312" w:cs="Times New Roman"/>
          <w:color w:val="000000"/>
          <w:kern w:val="0"/>
          <w:sz w:val="32"/>
          <w:szCs w:val="32"/>
          <w:shd w:val="clear" w:color="auto" w:fill="FFFFFF"/>
          <w:lang w:bidi="ar"/>
        </w:rPr>
        <w:t xml:space="preserve"> 新建小区宜为17层及以下住宅，</w:t>
      </w:r>
      <w:r>
        <w:rPr>
          <w:rFonts w:hint="eastAsia" w:ascii="Times New Roman" w:hAnsi="Times New Roman" w:eastAsia="仿宋_GB2312" w:cs="Times New Roman"/>
          <w:color w:val="000000"/>
          <w:kern w:val="0"/>
          <w:sz w:val="32"/>
          <w:szCs w:val="32"/>
          <w:shd w:val="clear" w:color="auto" w:fill="FFFFFF"/>
          <w:lang w:val="en-US" w:eastAsia="zh-CN" w:bidi="ar"/>
        </w:rPr>
        <w:t>控制指标依据相关规范设定，应设置社区游园，包含体育活动场地</w:t>
      </w:r>
      <w:r>
        <w:rPr>
          <w:rFonts w:ascii="Times New Roman" w:hAnsi="Times New Roman" w:eastAsia="仿宋_GB2312" w:cs="Times New Roman"/>
          <w:color w:val="000000"/>
          <w:kern w:val="0"/>
          <w:sz w:val="32"/>
          <w:szCs w:val="32"/>
          <w:shd w:val="clear" w:color="auto" w:fill="FFFFFF"/>
          <w:lang w:bidi="ar"/>
        </w:rPr>
        <w:t>。</w:t>
      </w:r>
    </w:p>
    <w:p w14:paraId="38F1321C">
      <w:pP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5.2.10小区采用通透式围墙，建筑底部采用石材、面砖等能够体现阜新地区建筑风格、适合</w:t>
      </w:r>
      <w:r>
        <w:rPr>
          <w:rFonts w:hint="eastAsia" w:ascii="Times New Roman" w:hAnsi="Times New Roman" w:eastAsia="仿宋_GB2312" w:cs="Times New Roman"/>
          <w:color w:val="000000"/>
          <w:kern w:val="0"/>
          <w:sz w:val="32"/>
          <w:szCs w:val="32"/>
          <w:shd w:val="clear" w:color="auto" w:fill="FFFFFF"/>
          <w:lang w:bidi="ar"/>
        </w:rPr>
        <w:t>阜新</w:t>
      </w:r>
      <w:r>
        <w:rPr>
          <w:rFonts w:ascii="Times New Roman" w:hAnsi="Times New Roman" w:eastAsia="仿宋_GB2312" w:cs="Times New Roman"/>
          <w:color w:val="000000"/>
          <w:kern w:val="0"/>
          <w:sz w:val="32"/>
          <w:szCs w:val="32"/>
          <w:shd w:val="clear" w:color="auto" w:fill="FFFFFF"/>
          <w:lang w:bidi="ar"/>
        </w:rPr>
        <w:t>地区气候特征的建筑材料。</w:t>
      </w:r>
    </w:p>
    <w:p w14:paraId="7FFBE0BC">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空间宜居</w:t>
      </w:r>
    </w:p>
    <w:p w14:paraId="4BDCCCF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5.2.11设有公共走廊时，公共走廊净宽不小于1.5m，净高不低于2.3m；设置封闭外廊时，应设置可开启窗扇。</w:t>
      </w:r>
    </w:p>
    <w:p w14:paraId="42BF76D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5.2.12 住宅地上、地下单元入口应设置大堂，使用面积不小于15m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；地上单元门采用不小于1.8m×2.3m（宽×高）的金属框玻璃门。</w:t>
      </w:r>
    </w:p>
    <w:p w14:paraId="73751B8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5.2.13 住宅应设置入户玄关空间，预留玄关柜及消杀设施的位置。独立入户玄关的净宽不宜小于1.30m（不含玄关柜深度），安装玄关柜位置深度不小于350mm。入户门边放玄关柜一侧至少预留400mm门垛。</w:t>
      </w:r>
    </w:p>
    <w:p w14:paraId="6EB3CFA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5.2.14住宅入户门门洞高度不低于2.3m，宽度不低于1.2m；外开户门不应影响电梯、楼梯、走廊、相邻住户的通行及消火栓的使用，外开户门不应遮挡电梯门和电梯按钮；相邻户门并列布置时，门间墙宽度不应小于0.4m；相邻户门为L型布置时，门间墙宽度不应小于1.5m。</w:t>
      </w:r>
    </w:p>
    <w:p w14:paraId="71CC14B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5.2.15 住宅底部商业网点的屋顶女儿墙及装饰构件不应高于相邻住户窗台，避免影响住户房间的采光。</w:t>
      </w:r>
    </w:p>
    <w:p w14:paraId="136718E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5.2.16 住宅首层门厅的墙体、梁柱、女儿墙、装饰构件等不应影响住宅的采光；首层天井内侧设置起居室、卧室、书房、厨房时，外侧不应设置门厅；门厅屋面女儿墙高度不应高于上层住户窗台；门厅天井内侧墙面应采用浅色饰面。</w:t>
      </w:r>
    </w:p>
    <w:p w14:paraId="17F09C9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5.2.17 住宅建筑轮廓应规整，当卧室、起居室、书房、厨房的外窗设置在凹槽内时，凹槽净宽不应小于1.5m，宽深比不小于1:2。</w:t>
      </w:r>
    </w:p>
    <w:p w14:paraId="34B041C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5.2.18 除主卧外，每套住宅至少应有1间卧室的门洞宽度不应小于1.0m，平开门开启后的通行净宽不小于0.9m。临近此卧室的淋浴间及坐便器处应预留设置安全抓杆的空间和条件。</w:t>
      </w:r>
    </w:p>
    <w:p w14:paraId="4CF7D28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5.2.19 靠近外门窗的排水、雨水立管外壁与外门窗边（外门窗平行方向）间距不应小于100mm，且不应遮挡墙体空调套管。</w:t>
      </w:r>
    </w:p>
    <w:p w14:paraId="45E3316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5.2.20 住宅建筑应当结合建筑立面统一设计封闭阳台。宜分生活阳台及服务阳台。生活阳台宜设在起居厅或卧室外，进深不应小于1.5m，服务阳台宜设在餐厅或厨房外。</w:t>
      </w:r>
    </w:p>
    <w:p w14:paraId="04ABD51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5.2.21住宅厨房使用面积：90m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以下户型，厨房不小于4.5m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，90～140m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户型，厨房不小于6.0m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，140m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以上户型，厨房不小于8.0m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；厨房操作台总长度不小于2.7m。台前操作空间深度不应小于1.0m。</w:t>
      </w:r>
    </w:p>
    <w:p w14:paraId="1D34C62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5.2.22 每个户型宜设两处卫生间，至少1个全明设计；仅设1个卫生间时采用干湿分离布置。卫生间洗面器、便器前应留有不小于700mm×600mm（宽×深）的空间。设置便器、洗浴器（浴缸或淋浴）、洗面器的卫生间使用面积不应小于4.0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w:t>
      </w:r>
    </w:p>
    <w:p w14:paraId="23C8A31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5.2.23 地下汽车库停车空间设计应满足以下要求：</w:t>
      </w:r>
    </w:p>
    <w:p w14:paraId="5FD193E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当车库内部设置尽端式车道时，车道长度不应大于30m，且尽端处停车位应预留倒车空间；</w:t>
      </w:r>
    </w:p>
    <w:p w14:paraId="74A0A22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行车道应视线良好，车行道转角处不宜设置通长连续的墙体。当不得不设置防火墙等连续墙体时，应将墙体偏离车行道1跨及以上，或将影响行车视线的隔墙改为卷帘；</w:t>
      </w:r>
    </w:p>
    <w:p w14:paraId="7D86282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 疏散通道、集水坑及开启后的人防门、防火门（含设备管井门）不应挤占停车位空间；</w:t>
      </w:r>
    </w:p>
    <w:p w14:paraId="1260180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4 结构柱及消火栓不应挤占停车位空间；</w:t>
      </w:r>
    </w:p>
    <w:p w14:paraId="2FF988E5">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 地下室防火卷帘不应影响车位净宽，应采用双轨双帘的防火卷帘，侧面应设置不小于400mm的墙垛作为收口。</w:t>
      </w:r>
    </w:p>
    <w:p w14:paraId="50D0B2D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5.2.24 小区应配置不小于配建标准20%的较大机动车停车位，该停车位宽度不小于2.6m、深度不小于5.5m。</w:t>
      </w:r>
    </w:p>
    <w:p w14:paraId="1224610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5.2.25 地下汽车库出入口坡道垂直净高应大于2.4m。考虑卸货及救护车通行的需求，地下空间至少1个坡道出入口的垂直净高应大于2.8m。地下车库净高不应小于2.4m，车库主通道宽度不应小于6.0m。</w:t>
      </w:r>
    </w:p>
    <w:p w14:paraId="63B7C54E">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Ⅲ 性能宜居</w:t>
      </w:r>
    </w:p>
    <w:p w14:paraId="661B05C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5.2.26 住宅设计应从建筑全寿命周期考虑，提倡采用有利于空间灵活分隔的结构体系和墙体，客厅、多厅一体等空间不宜出现结构梁。</w:t>
      </w:r>
    </w:p>
    <w:p w14:paraId="0DEA893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5.2.27 现浇楼板厚度不应小于130mm，预制叠合楼板厚度不应小于140mm，且须满足双向板厚度不小于短跨的1/30。</w:t>
      </w:r>
    </w:p>
    <w:p w14:paraId="0B7DDC5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5.2.28 设有3个及以上卫生间的住宅，局部热水供应系统采用共用热水器时，应设小循环泵机械循环。</w:t>
      </w:r>
    </w:p>
    <w:p w14:paraId="46A2DDEA">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Ⅳ 生活便利</w:t>
      </w:r>
    </w:p>
    <w:p w14:paraId="1E98B02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5.2.29 场地出入口步行距离800m范围内宜设有不少于2条线路的公共交通站点。</w:t>
      </w:r>
    </w:p>
    <w:p w14:paraId="23BCC1F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5.2.30 场地出入口到幼儿园步行距离不大于300m，到小学不大于500m，到中学不大于1000m，到医院不大于1000m；到达群众文化活动设施的步行距离不大于800m；到达老年人日间照料设施的步行距离不大于500m；周边500m范围内具有不少于3种商业服务设施。</w:t>
      </w:r>
    </w:p>
    <w:p w14:paraId="3F3E952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5.2.31 小区主入口前区应设置不小于200m</w:t>
      </w:r>
      <w:r>
        <w:rPr>
          <w:rFonts w:ascii="Times New Roman" w:hAnsi="Times New Roman" w:eastAsia="仿宋_GB2312" w:cs="Times New Roman"/>
          <w:color w:val="000000"/>
          <w:kern w:val="0"/>
          <w:sz w:val="32"/>
          <w:szCs w:val="32"/>
          <w:shd w:val="clear" w:color="auto" w:fill="FFFFFF"/>
          <w:vertAlign w:val="superscript"/>
          <w:lang w:bidi="ar"/>
        </w:rPr>
        <w:t>2</w:t>
      </w:r>
      <w:r>
        <w:rPr>
          <w:rFonts w:ascii="Times New Roman" w:hAnsi="Times New Roman" w:eastAsia="仿宋_GB2312" w:cs="Times New Roman"/>
          <w:color w:val="000000"/>
          <w:kern w:val="0"/>
          <w:sz w:val="32"/>
          <w:szCs w:val="32"/>
          <w:shd w:val="clear" w:color="auto" w:fill="FFFFFF"/>
          <w:lang w:bidi="ar"/>
        </w:rPr>
        <w:t>缓冲空间，并预留访客车位、快递车位、急救车位、搬家车位等。</w:t>
      </w:r>
    </w:p>
    <w:p w14:paraId="111AA69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5.2.32 新建住宅地下室的人防区域，处于归家路线及车库行车路线上的人防门，宜采用无门槛式。</w:t>
      </w:r>
    </w:p>
    <w:p w14:paraId="26B69D8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5.2.33 小区配套公共服务设施独立、集中布置，且交通便利、可达性好。社区综合服务设施、居家养老服务设施、托幼、医疗设施宜临近绿地广场、人流活动较多的区域，原则上不与垃圾处理、地面市政、独立的公厕等设施毗邻。</w:t>
      </w:r>
    </w:p>
    <w:p w14:paraId="16125078">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6 绿色低碳</w:t>
      </w:r>
    </w:p>
    <w:p w14:paraId="69021924">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6.1 控制项</w:t>
      </w:r>
    </w:p>
    <w:p w14:paraId="543A3C8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 新建住宅套内空间应实行全装修，采用一体化设计和施工；内装系统应与结构系统、外围护系统、设备管线系统一体化集成设计。</w:t>
      </w:r>
    </w:p>
    <w:p w14:paraId="59B11900">
      <w:pPr>
        <w:rPr>
          <w:rFonts w:ascii="Times New Roman" w:hAnsi="Times New Roman" w:eastAsia="Segoe UI" w:cs="Times New Roman"/>
          <w:color w:val="000000"/>
          <w:kern w:val="0"/>
          <w:sz w:val="24"/>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6.1.2 建筑节能设计以</w:t>
      </w:r>
      <w:r>
        <w:rPr>
          <w:rFonts w:ascii="Times New Roman" w:hAnsi="Times New Roman" w:eastAsia="仿宋_GB2312" w:cs="Times New Roman"/>
          <w:color w:val="000000"/>
          <w:kern w:val="0"/>
          <w:sz w:val="32"/>
          <w:szCs w:val="32"/>
          <w:shd w:val="clear" w:color="auto" w:fill="FFFFFF"/>
          <w:lang w:eastAsia="zh" w:bidi="ar"/>
        </w:rPr>
        <w:t>《建筑节能与可再生能源利用通用规范》</w:t>
      </w:r>
      <w:r>
        <w:rPr>
          <w:rFonts w:ascii="Times New Roman" w:hAnsi="Times New Roman" w:eastAsia="仿宋_GB2312" w:cs="Times New Roman"/>
          <w:color w:val="000000"/>
          <w:kern w:val="0"/>
          <w:sz w:val="32"/>
          <w:szCs w:val="32"/>
          <w:shd w:val="clear" w:color="auto" w:fill="FFFFFF"/>
          <w:lang w:bidi="ar"/>
        </w:rPr>
        <w:t>GB55015为基准，围护结构热工性能提高5%，或建筑供暖空调负荷降低3%，外窗传热系数应降低10%。住宅建筑非透光围护结构和透光围护结构的热工性能指标应符合6.1.2-1和6.1.2-2的规定。</w:t>
      </w:r>
    </w:p>
    <w:p w14:paraId="01FBB652">
      <w:pPr>
        <w:kinsoku w:val="0"/>
        <w:autoSpaceDE w:val="0"/>
        <w:adjustRightInd w:val="0"/>
        <w:snapToGrid w:val="0"/>
        <w:spacing w:line="360" w:lineRule="auto"/>
        <w:jc w:val="center"/>
        <w:textAlignment w:val="baseline"/>
        <w:rPr>
          <w:rFonts w:ascii="Times New Roman" w:hAnsi="Times New Roman" w:eastAsia="宋体" w:cs="Times New Roman"/>
          <w:b/>
          <w:bCs/>
          <w:kern w:val="0"/>
          <w:sz w:val="24"/>
        </w:rPr>
      </w:pPr>
      <w:r>
        <w:rPr>
          <w:rFonts w:ascii="Times New Roman" w:hAnsi="Times New Roman" w:eastAsia="宋体" w:cs="Times New Roman"/>
          <w:b/>
          <w:bCs/>
          <w:snapToGrid w:val="0"/>
          <w:kern w:val="0"/>
          <w:sz w:val="24"/>
          <w:lang w:bidi="ar"/>
        </w:rPr>
        <w:t>表6.1.2-1 严寒C区住宅建筑围护结构热工性能参数限值</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0"/>
        <w:gridCol w:w="2209"/>
        <w:gridCol w:w="1253"/>
      </w:tblGrid>
      <w:tr w14:paraId="20F1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60796507">
            <w:pPr>
              <w:kinsoku w:val="0"/>
              <w:autoSpaceDE w:val="0"/>
              <w:adjustRightInd w:val="0"/>
              <w:spacing w:line="360" w:lineRule="auto"/>
              <w:jc w:val="center"/>
              <w:textAlignment w:val="baseline"/>
              <w:rPr>
                <w:rFonts w:ascii="Times New Roman" w:hAnsi="Times New Roman" w:eastAsia="宋体" w:cs="Times New Roman"/>
                <w:kern w:val="0"/>
                <w:sz w:val="24"/>
              </w:rPr>
            </w:pPr>
            <w:bookmarkStart w:id="0" w:name="OLE_LINK4"/>
            <w:r>
              <w:rPr>
                <w:rFonts w:ascii="Times New Roman" w:hAnsi="Times New Roman" w:eastAsia="宋体" w:cs="Times New Roman"/>
                <w:snapToGrid w:val="0"/>
                <w:kern w:val="0"/>
                <w:sz w:val="24"/>
                <w:lang w:bidi="ar"/>
              </w:rPr>
              <w:t>围护结构部位</w:t>
            </w:r>
            <w:bookmarkEnd w:id="0"/>
          </w:p>
        </w:tc>
        <w:tc>
          <w:tcPr>
            <w:tcW w:w="20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9EF3FB7">
            <w:pPr>
              <w:kinsoku w:val="0"/>
              <w:autoSpaceDE w:val="0"/>
              <w:adjustRightInd w:val="0"/>
              <w:spacing w:line="360" w:lineRule="auto"/>
              <w:jc w:val="center"/>
              <w:textAlignment w:val="baseline"/>
              <w:rPr>
                <w:rFonts w:ascii="Times New Roman" w:hAnsi="Times New Roman" w:eastAsia="宋体" w:cs="Times New Roman"/>
                <w:kern w:val="0"/>
                <w:sz w:val="24"/>
                <w:lang w:eastAsia="zh"/>
              </w:rPr>
            </w:pPr>
            <w:r>
              <w:rPr>
                <w:rFonts w:ascii="Times New Roman" w:hAnsi="Times New Roman" w:eastAsia="宋体" w:cs="Times New Roman"/>
                <w:snapToGrid w:val="0"/>
                <w:kern w:val="0"/>
                <w:sz w:val="24"/>
                <w:lang w:bidi="ar"/>
              </w:rPr>
              <w:t>传热系数K</w:t>
            </w:r>
            <w:r>
              <w:rPr>
                <w:rFonts w:ascii="Times New Roman" w:hAnsi="Times New Roman" w:eastAsia="宋体" w:cs="Times New Roman"/>
                <w:snapToGrid w:val="0"/>
                <w:kern w:val="0"/>
                <w:sz w:val="24"/>
                <w:lang w:eastAsia="zh" w:bidi="ar"/>
              </w:rPr>
              <w:t>[W/m</w:t>
            </w:r>
            <w:r>
              <w:rPr>
                <w:rFonts w:ascii="Times New Roman" w:hAnsi="Times New Roman" w:eastAsia="宋体" w:cs="Times New Roman"/>
                <w:snapToGrid w:val="0"/>
                <w:kern w:val="0"/>
                <w:sz w:val="24"/>
                <w:vertAlign w:val="superscript"/>
                <w:lang w:eastAsia="zh" w:bidi="ar"/>
              </w:rPr>
              <w:t>2</w:t>
            </w:r>
            <w:r>
              <w:rPr>
                <w:rFonts w:ascii="Times New Roman" w:hAnsi="Times New Roman" w:eastAsia="宋体" w:cs="Times New Roman"/>
                <w:snapToGrid w:val="0"/>
                <w:kern w:val="0"/>
                <w:sz w:val="24"/>
                <w:lang w:eastAsia="zh" w:bidi="ar"/>
              </w:rPr>
              <w:t>·K]</w:t>
            </w:r>
          </w:p>
        </w:tc>
      </w:tr>
      <w:tr w14:paraId="46983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3058F005">
            <w:pPr>
              <w:jc w:val="center"/>
              <w:rPr>
                <w:rFonts w:ascii="Times New Roman" w:hAnsi="Times New Roman" w:cs="Times New Roman"/>
                <w:sz w:val="24"/>
              </w:rPr>
            </w:pP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BAB5CF8">
            <w:pPr>
              <w:kinsoku w:val="0"/>
              <w:autoSpaceDE w:val="0"/>
              <w:adjustRightInd w:val="0"/>
              <w:spacing w:line="360" w:lineRule="auto"/>
              <w:jc w:val="center"/>
              <w:textAlignment w:val="baseline"/>
              <w:rPr>
                <w:rFonts w:ascii="Times New Roman" w:hAnsi="Times New Roman" w:eastAsia="宋体" w:cs="Times New Roman"/>
                <w:sz w:val="24"/>
              </w:rPr>
            </w:pPr>
            <w:bookmarkStart w:id="1" w:name="OLE_LINK1"/>
            <w:r>
              <w:rPr>
                <w:rFonts w:ascii="Times New Roman" w:hAnsi="Times New Roman" w:eastAsia="仿宋" w:cs="Times New Roman"/>
                <w:snapToGrid w:val="0"/>
                <w:sz w:val="24"/>
                <w:lang w:bidi="ar"/>
              </w:rPr>
              <w:t>≤</w:t>
            </w:r>
            <w:bookmarkEnd w:id="1"/>
            <w:r>
              <w:rPr>
                <w:rFonts w:ascii="Times New Roman" w:hAnsi="Times New Roman" w:eastAsia="宋体" w:cs="Times New Roman"/>
                <w:snapToGrid w:val="0"/>
                <w:sz w:val="24"/>
                <w:lang w:bidi="ar"/>
              </w:rPr>
              <w:t>3层</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9FCA56F">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仿宋" w:cs="Times New Roman"/>
                <w:snapToGrid w:val="0"/>
                <w:sz w:val="24"/>
                <w:lang w:eastAsia="zh" w:bidi="ar"/>
              </w:rPr>
              <w:t>＞</w:t>
            </w:r>
            <w:r>
              <w:rPr>
                <w:rFonts w:ascii="Times New Roman" w:hAnsi="Times New Roman" w:eastAsia="宋体" w:cs="Times New Roman"/>
                <w:snapToGrid w:val="0"/>
                <w:sz w:val="24"/>
                <w:lang w:bidi="ar"/>
              </w:rPr>
              <w:t>3层</w:t>
            </w:r>
          </w:p>
        </w:tc>
      </w:tr>
      <w:tr w14:paraId="6CD1D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77F225D7">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屋面</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603222D9">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0.19</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7C410D8F">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0.19</w:t>
            </w:r>
          </w:p>
        </w:tc>
      </w:tr>
      <w:tr w14:paraId="036D8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4F44FB10">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外墙</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4B59997B">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≤0</w:t>
            </w:r>
            <w:r>
              <w:rPr>
                <w:rFonts w:ascii="Times New Roman" w:hAnsi="Times New Roman" w:eastAsia="宋体" w:cs="Times New Roman"/>
                <w:snapToGrid w:val="0"/>
                <w:sz w:val="24"/>
                <w:lang w:bidi="ar"/>
              </w:rPr>
              <w:t>.285</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C154719">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0.38</w:t>
            </w:r>
          </w:p>
        </w:tc>
      </w:tr>
      <w:tr w14:paraId="1D20C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342C6072">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架空或外挑楼板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52D38A62">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0.285</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0AB843F4">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0.38</w:t>
            </w:r>
          </w:p>
        </w:tc>
      </w:tr>
      <w:tr w14:paraId="45103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330F6C87">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sz w:val="24"/>
                <w:lang w:bidi="ar"/>
              </w:rPr>
              <w:t>阳台门下部芯板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31091AB">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1.14</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2AF0215">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1.14</w:t>
            </w:r>
          </w:p>
        </w:tc>
      </w:tr>
      <w:tr w14:paraId="24254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4AC10D11">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非供暖地下室顶板（上部为供暖房间时）</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CFFD416">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7EA208FF">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0.43</w:t>
            </w:r>
          </w:p>
        </w:tc>
      </w:tr>
      <w:tr w14:paraId="0B5D5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709F2027">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分隔供暖与非供暖空间的隔墙、楼板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5BE650DC">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05F4B120">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r>
      <w:tr w14:paraId="001356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5C4EACB1">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分隔供暖与非供暖空间的户门</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3168ABEF">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394B2CC2">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r>
      <w:tr w14:paraId="5A6BD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73F90F15">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分隔供暖设计温度温差大于5K的隔墙、楼板</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1FB8D044">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1A7B4BF2">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1.43</w:t>
            </w:r>
          </w:p>
        </w:tc>
      </w:tr>
      <w:tr w14:paraId="33E81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0EC073E3">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kern w:val="0"/>
                <w:sz w:val="24"/>
                <w:lang w:bidi="ar"/>
              </w:rPr>
              <w:t>围护结构部位</w:t>
            </w:r>
          </w:p>
        </w:tc>
        <w:tc>
          <w:tcPr>
            <w:tcW w:w="2031"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0E1781D">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保温材料层热阻R</w:t>
            </w:r>
            <w:r>
              <w:rPr>
                <w:rFonts w:ascii="Times New Roman" w:hAnsi="Times New Roman" w:eastAsia="宋体" w:cs="Times New Roman"/>
                <w:snapToGrid w:val="0"/>
                <w:kern w:val="0"/>
                <w:sz w:val="24"/>
                <w:lang w:eastAsia="zh" w:bidi="ar"/>
              </w:rPr>
              <w:t>[(m</w:t>
            </w:r>
            <w:r>
              <w:rPr>
                <w:rFonts w:ascii="Times New Roman" w:hAnsi="Times New Roman" w:eastAsia="宋体" w:cs="Times New Roman"/>
                <w:snapToGrid w:val="0"/>
                <w:kern w:val="0"/>
                <w:sz w:val="24"/>
                <w:vertAlign w:val="superscript"/>
                <w:lang w:eastAsia="zh" w:bidi="ar"/>
              </w:rPr>
              <w:t>2</w:t>
            </w:r>
            <w:r>
              <w:rPr>
                <w:rFonts w:ascii="Times New Roman" w:hAnsi="Times New Roman" w:eastAsia="宋体" w:cs="Times New Roman"/>
                <w:snapToGrid w:val="0"/>
                <w:kern w:val="0"/>
                <w:sz w:val="24"/>
                <w:lang w:eastAsia="zh" w:bidi="ar"/>
              </w:rPr>
              <w:t>·K)/W]</w:t>
            </w:r>
          </w:p>
        </w:tc>
      </w:tr>
      <w:tr w14:paraId="15F80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2812839C">
            <w:pPr>
              <w:kinsoku w:val="0"/>
              <w:autoSpaceDE w:val="0"/>
              <w:adjustRightInd w:val="0"/>
              <w:spacing w:line="360" w:lineRule="auto"/>
              <w:jc w:val="center"/>
              <w:textAlignment w:val="baseline"/>
              <w:rPr>
                <w:rFonts w:ascii="Times New Roman" w:hAnsi="Times New Roman" w:eastAsia="宋体" w:cs="Times New Roman"/>
                <w:sz w:val="24"/>
              </w:rPr>
            </w:pPr>
            <w:bookmarkStart w:id="2" w:name="OLE_LINK3"/>
            <w:r>
              <w:rPr>
                <w:rFonts w:ascii="Times New Roman" w:hAnsi="Times New Roman" w:eastAsia="宋体" w:cs="Times New Roman"/>
                <w:snapToGrid w:val="0"/>
                <w:sz w:val="24"/>
                <w:lang w:bidi="ar"/>
              </w:rPr>
              <w:t>周边地面</w:t>
            </w:r>
            <w:bookmarkEnd w:id="2"/>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6969BDE0">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≥1</w:t>
            </w:r>
            <w:r>
              <w:rPr>
                <w:rFonts w:ascii="Times New Roman" w:hAnsi="Times New Roman" w:eastAsia="宋体" w:cs="Times New Roman"/>
                <w:snapToGrid w:val="0"/>
                <w:sz w:val="24"/>
                <w:lang w:bidi="ar"/>
              </w:rPr>
              <w:t>.89</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6086B261">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1.89</w:t>
            </w:r>
          </w:p>
        </w:tc>
      </w:tr>
      <w:tr w14:paraId="4B048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8" w:type="pct"/>
            <w:tcBorders>
              <w:top w:val="single" w:color="auto" w:sz="4" w:space="0"/>
              <w:left w:val="single" w:color="auto" w:sz="4" w:space="0"/>
              <w:bottom w:val="single" w:color="auto" w:sz="4" w:space="0"/>
              <w:right w:val="single" w:color="auto" w:sz="4" w:space="0"/>
            </w:tcBorders>
            <w:shd w:val="clear" w:color="auto" w:fill="auto"/>
            <w:vAlign w:val="center"/>
          </w:tcPr>
          <w:p w14:paraId="56DEEC4A">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宋体" w:cs="Times New Roman"/>
                <w:snapToGrid w:val="0"/>
                <w:sz w:val="24"/>
                <w:lang w:bidi="ar"/>
              </w:rPr>
              <w:t>地下室外墙（与土壤接触的外墙）</w:t>
            </w:r>
          </w:p>
        </w:tc>
        <w:tc>
          <w:tcPr>
            <w:tcW w:w="1296" w:type="pct"/>
            <w:tcBorders>
              <w:top w:val="single" w:color="auto" w:sz="4" w:space="0"/>
              <w:left w:val="single" w:color="auto" w:sz="4" w:space="0"/>
              <w:bottom w:val="single" w:color="auto" w:sz="4" w:space="0"/>
              <w:right w:val="single" w:color="auto" w:sz="4" w:space="0"/>
            </w:tcBorders>
            <w:shd w:val="clear" w:color="auto" w:fill="auto"/>
            <w:vAlign w:val="center"/>
          </w:tcPr>
          <w:p w14:paraId="58496F38">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2.1</w:t>
            </w:r>
            <w:r>
              <w:rPr>
                <w:rFonts w:ascii="Times New Roman" w:hAnsi="Times New Roman" w:eastAsia="宋体" w:cs="Times New Roman"/>
                <w:snapToGrid w:val="0"/>
                <w:sz w:val="24"/>
                <w:lang w:eastAsia="zh" w:bidi="ar"/>
              </w:rPr>
              <w:t>0</w:t>
            </w:r>
          </w:p>
        </w:tc>
        <w:tc>
          <w:tcPr>
            <w:tcW w:w="735" w:type="pct"/>
            <w:tcBorders>
              <w:top w:val="single" w:color="auto" w:sz="4" w:space="0"/>
              <w:left w:val="single" w:color="auto" w:sz="4" w:space="0"/>
              <w:bottom w:val="single" w:color="auto" w:sz="4" w:space="0"/>
              <w:right w:val="single" w:color="auto" w:sz="4" w:space="0"/>
            </w:tcBorders>
            <w:shd w:val="clear" w:color="auto" w:fill="auto"/>
            <w:vAlign w:val="center"/>
          </w:tcPr>
          <w:p w14:paraId="41942E43">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2.1</w:t>
            </w:r>
            <w:r>
              <w:rPr>
                <w:rFonts w:ascii="Times New Roman" w:hAnsi="Times New Roman" w:eastAsia="宋体" w:cs="Times New Roman"/>
                <w:snapToGrid w:val="0"/>
                <w:sz w:val="24"/>
                <w:lang w:eastAsia="zh" w:bidi="ar"/>
              </w:rPr>
              <w:t>0</w:t>
            </w:r>
          </w:p>
        </w:tc>
      </w:tr>
    </w:tbl>
    <w:p w14:paraId="7B19BA36">
      <w:pPr>
        <w:kinsoku w:val="0"/>
        <w:autoSpaceDE w:val="0"/>
        <w:adjustRightInd w:val="0"/>
        <w:snapToGrid w:val="0"/>
        <w:spacing w:line="360" w:lineRule="auto"/>
        <w:textAlignment w:val="baseline"/>
        <w:rPr>
          <w:rFonts w:ascii="Times New Roman" w:hAnsi="Times New Roman" w:eastAsia="宋体" w:cs="Times New Roman"/>
          <w:b/>
          <w:bCs/>
          <w:snapToGrid w:val="0"/>
          <w:kern w:val="0"/>
          <w:sz w:val="24"/>
          <w:lang w:bidi="ar"/>
        </w:rPr>
      </w:pPr>
    </w:p>
    <w:p w14:paraId="5AE01EED">
      <w:pPr>
        <w:kinsoku w:val="0"/>
        <w:autoSpaceDE w:val="0"/>
        <w:adjustRightInd w:val="0"/>
        <w:spacing w:line="360" w:lineRule="auto"/>
        <w:jc w:val="center"/>
        <w:textAlignment w:val="baseline"/>
        <w:rPr>
          <w:rFonts w:ascii="Times New Roman" w:hAnsi="Times New Roman" w:eastAsia="宋体" w:cs="Times New Roman"/>
          <w:b/>
          <w:bCs/>
          <w:kern w:val="0"/>
          <w:sz w:val="24"/>
        </w:rPr>
      </w:pPr>
      <w:r>
        <w:rPr>
          <w:rFonts w:ascii="Times New Roman" w:hAnsi="Times New Roman" w:eastAsia="宋体" w:cs="Times New Roman"/>
          <w:b/>
          <w:bCs/>
          <w:snapToGrid w:val="0"/>
          <w:kern w:val="0"/>
          <w:sz w:val="24"/>
          <w:lang w:bidi="ar"/>
        </w:rPr>
        <w:t>表6.1.2-2 严寒C区住宅建筑透光围护结构热工性能参数限值</w:t>
      </w:r>
    </w:p>
    <w:tbl>
      <w:tblPr>
        <w:tblStyle w:val="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6"/>
        <w:gridCol w:w="2188"/>
        <w:gridCol w:w="1268"/>
      </w:tblGrid>
      <w:tr w14:paraId="1D50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367D2A07">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外窗</w:t>
            </w:r>
          </w:p>
        </w:tc>
        <w:tc>
          <w:tcPr>
            <w:tcW w:w="2028"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13097C">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传热系数K</w:t>
            </w:r>
            <w:r>
              <w:rPr>
                <w:rFonts w:ascii="Times New Roman" w:hAnsi="Times New Roman" w:eastAsia="宋体" w:cs="Times New Roman"/>
                <w:snapToGrid w:val="0"/>
                <w:kern w:val="0"/>
                <w:sz w:val="24"/>
                <w:lang w:eastAsia="zh" w:bidi="ar"/>
              </w:rPr>
              <w:t>[W/m</w:t>
            </w:r>
            <w:r>
              <w:rPr>
                <w:rFonts w:ascii="Times New Roman" w:hAnsi="Times New Roman" w:eastAsia="宋体" w:cs="Times New Roman"/>
                <w:snapToGrid w:val="0"/>
                <w:kern w:val="0"/>
                <w:sz w:val="24"/>
                <w:vertAlign w:val="superscript"/>
                <w:lang w:eastAsia="zh" w:bidi="ar"/>
              </w:rPr>
              <w:t>2</w:t>
            </w:r>
            <w:r>
              <w:rPr>
                <w:rFonts w:ascii="Times New Roman" w:hAnsi="Times New Roman" w:eastAsia="宋体" w:cs="Times New Roman"/>
                <w:snapToGrid w:val="0"/>
                <w:kern w:val="0"/>
                <w:sz w:val="24"/>
                <w:lang w:eastAsia="zh" w:bidi="ar"/>
              </w:rPr>
              <w:t>·K]</w:t>
            </w:r>
          </w:p>
        </w:tc>
      </w:tr>
      <w:tr w14:paraId="266D7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0491E077">
            <w:pPr>
              <w:jc w:val="center"/>
              <w:rPr>
                <w:rFonts w:ascii="Times New Roman" w:hAnsi="Times New Roman" w:cs="Times New Roman"/>
                <w:sz w:val="24"/>
              </w:rPr>
            </w:pP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440A512C">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3层</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1B5CB969">
            <w:pPr>
              <w:kinsoku w:val="0"/>
              <w:autoSpaceDE w:val="0"/>
              <w:adjustRightInd w:val="0"/>
              <w:spacing w:line="360" w:lineRule="auto"/>
              <w:jc w:val="center"/>
              <w:textAlignment w:val="baseline"/>
              <w:rPr>
                <w:rFonts w:ascii="Times New Roman" w:hAnsi="Times New Roman" w:eastAsia="宋体" w:cs="Times New Roman"/>
                <w:sz w:val="24"/>
              </w:rPr>
            </w:pPr>
            <w:r>
              <w:rPr>
                <w:rFonts w:ascii="Times New Roman" w:hAnsi="Times New Roman" w:eastAsia="仿宋" w:cs="Times New Roman"/>
                <w:snapToGrid w:val="0"/>
                <w:sz w:val="24"/>
                <w:lang w:eastAsia="zh" w:bidi="ar"/>
              </w:rPr>
              <w:t>＞</w:t>
            </w:r>
            <w:r>
              <w:rPr>
                <w:rFonts w:ascii="Times New Roman" w:hAnsi="Times New Roman" w:eastAsia="宋体" w:cs="Times New Roman"/>
                <w:snapToGrid w:val="0"/>
                <w:sz w:val="24"/>
                <w:lang w:bidi="ar"/>
              </w:rPr>
              <w:t>3层</w:t>
            </w:r>
          </w:p>
        </w:tc>
      </w:tr>
      <w:tr w14:paraId="675BB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tcBorders>
              <w:top w:val="single" w:color="auto" w:sz="4" w:space="0"/>
              <w:left w:val="single" w:color="auto" w:sz="4" w:space="0"/>
              <w:bottom w:val="single" w:color="auto" w:sz="4" w:space="0"/>
              <w:right w:val="single" w:color="auto" w:sz="4" w:space="0"/>
            </w:tcBorders>
            <w:shd w:val="clear" w:color="auto" w:fill="auto"/>
            <w:vAlign w:val="center"/>
          </w:tcPr>
          <w:p w14:paraId="7D5F05CE">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窗墙面积比</w:t>
            </w: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0.30</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43E352B0">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1.44</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2696407F">
            <w:pPr>
              <w:kinsoku w:val="0"/>
              <w:autoSpaceDE w:val="0"/>
              <w:adjustRightInd w:val="0"/>
              <w:spacing w:line="360" w:lineRule="auto"/>
              <w:jc w:val="center"/>
              <w:textAlignment w:val="baseline"/>
              <w:rPr>
                <w:rFonts w:ascii="Times New Roman" w:hAnsi="Times New Roman" w:eastAsia="宋体" w:cs="Times New Roman"/>
                <w:snapToGrid w:val="0"/>
                <w:sz w:val="24"/>
                <w:lang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1.80</w:t>
            </w:r>
          </w:p>
        </w:tc>
      </w:tr>
      <w:tr w14:paraId="2FDF3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tcBorders>
              <w:top w:val="single" w:color="auto" w:sz="4" w:space="0"/>
              <w:left w:val="single" w:color="auto" w:sz="4" w:space="0"/>
              <w:bottom w:val="single" w:color="auto" w:sz="4" w:space="0"/>
              <w:right w:val="single" w:color="auto" w:sz="4" w:space="0"/>
            </w:tcBorders>
            <w:shd w:val="clear" w:color="auto" w:fill="auto"/>
            <w:vAlign w:val="center"/>
          </w:tcPr>
          <w:p w14:paraId="0F565CF3">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0.30</w:t>
            </w:r>
            <w:r>
              <w:rPr>
                <w:rFonts w:ascii="Times New Roman" w:hAnsi="Times New Roman" w:eastAsia="仿宋" w:cs="Times New Roman"/>
                <w:snapToGrid w:val="0"/>
                <w:sz w:val="24"/>
                <w:lang w:eastAsia="zh" w:bidi="ar"/>
              </w:rPr>
              <w:t>＜</w:t>
            </w:r>
            <w:r>
              <w:rPr>
                <w:rFonts w:ascii="Times New Roman" w:hAnsi="Times New Roman" w:eastAsia="宋体" w:cs="Times New Roman"/>
                <w:snapToGrid w:val="0"/>
                <w:kern w:val="0"/>
                <w:sz w:val="24"/>
                <w:lang w:bidi="ar"/>
              </w:rPr>
              <w:t>窗墙面积比</w:t>
            </w: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0.45</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5615E9D8">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1.26</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0BA58E4E">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1.62</w:t>
            </w:r>
          </w:p>
        </w:tc>
      </w:tr>
      <w:tr w14:paraId="2162E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1" w:type="pct"/>
            <w:tcBorders>
              <w:top w:val="single" w:color="auto" w:sz="4" w:space="0"/>
              <w:left w:val="single" w:color="auto" w:sz="4" w:space="0"/>
              <w:bottom w:val="single" w:color="auto" w:sz="4" w:space="0"/>
              <w:right w:val="single" w:color="auto" w:sz="4" w:space="0"/>
            </w:tcBorders>
            <w:shd w:val="clear" w:color="auto" w:fill="auto"/>
            <w:vAlign w:val="center"/>
          </w:tcPr>
          <w:p w14:paraId="5E0F0B3A">
            <w:pPr>
              <w:kinsoku w:val="0"/>
              <w:autoSpaceDE w:val="0"/>
              <w:adjustRightInd w:val="0"/>
              <w:spacing w:line="360" w:lineRule="auto"/>
              <w:jc w:val="center"/>
              <w:textAlignment w:val="baseline"/>
              <w:rPr>
                <w:rFonts w:ascii="Times New Roman" w:hAnsi="Times New Roman" w:eastAsia="宋体" w:cs="Times New Roman"/>
                <w:kern w:val="0"/>
                <w:sz w:val="24"/>
              </w:rPr>
            </w:pPr>
            <w:r>
              <w:rPr>
                <w:rFonts w:ascii="Times New Roman" w:hAnsi="Times New Roman" w:eastAsia="宋体" w:cs="Times New Roman"/>
                <w:snapToGrid w:val="0"/>
                <w:kern w:val="0"/>
                <w:sz w:val="24"/>
                <w:lang w:bidi="ar"/>
              </w:rPr>
              <w:t>天窗</w:t>
            </w:r>
          </w:p>
        </w:tc>
        <w:tc>
          <w:tcPr>
            <w:tcW w:w="1284" w:type="pct"/>
            <w:tcBorders>
              <w:top w:val="single" w:color="auto" w:sz="4" w:space="0"/>
              <w:left w:val="single" w:color="auto" w:sz="4" w:space="0"/>
              <w:bottom w:val="single" w:color="auto" w:sz="4" w:space="0"/>
              <w:right w:val="single" w:color="auto" w:sz="4" w:space="0"/>
            </w:tcBorders>
            <w:shd w:val="clear" w:color="auto" w:fill="auto"/>
            <w:vAlign w:val="center"/>
          </w:tcPr>
          <w:p w14:paraId="1646CDEE">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1.44</w:t>
            </w:r>
          </w:p>
        </w:tc>
        <w:tc>
          <w:tcPr>
            <w:tcW w:w="743" w:type="pct"/>
            <w:tcBorders>
              <w:top w:val="single" w:color="auto" w:sz="4" w:space="0"/>
              <w:left w:val="single" w:color="auto" w:sz="4" w:space="0"/>
              <w:bottom w:val="single" w:color="auto" w:sz="4" w:space="0"/>
              <w:right w:val="single" w:color="auto" w:sz="4" w:space="0"/>
            </w:tcBorders>
            <w:shd w:val="clear" w:color="auto" w:fill="auto"/>
            <w:vAlign w:val="center"/>
          </w:tcPr>
          <w:p w14:paraId="208AD411">
            <w:pPr>
              <w:kinsoku w:val="0"/>
              <w:autoSpaceDE w:val="0"/>
              <w:adjustRightInd w:val="0"/>
              <w:spacing w:line="360" w:lineRule="auto"/>
              <w:jc w:val="center"/>
              <w:textAlignment w:val="baseline"/>
              <w:rPr>
                <w:rFonts w:ascii="Times New Roman" w:hAnsi="Times New Roman" w:eastAsia="宋体" w:cs="Times New Roman"/>
                <w:snapToGrid w:val="0"/>
                <w:sz w:val="24"/>
                <w:lang w:eastAsia="zh" w:bidi="ar"/>
              </w:rPr>
            </w:pPr>
            <w:r>
              <w:rPr>
                <w:rFonts w:ascii="Times New Roman" w:hAnsi="Times New Roman" w:eastAsia="仿宋" w:cs="Times New Roman"/>
                <w:snapToGrid w:val="0"/>
                <w:sz w:val="24"/>
                <w:lang w:bidi="ar"/>
              </w:rPr>
              <w:t>≤</w:t>
            </w:r>
            <w:r>
              <w:rPr>
                <w:rFonts w:ascii="Times New Roman" w:hAnsi="Times New Roman" w:eastAsia="宋体" w:cs="Times New Roman"/>
                <w:snapToGrid w:val="0"/>
                <w:sz w:val="24"/>
                <w:lang w:bidi="ar"/>
              </w:rPr>
              <w:t>1.44</w:t>
            </w:r>
          </w:p>
        </w:tc>
      </w:tr>
    </w:tbl>
    <w:p w14:paraId="45810B1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6.1.3 应合理设定低碳目标和路径，进行全生命周期碳排放计算，根据计算分析结果采取降低单位建筑面积碳排放强度的措施，在设计文件中编制碳排放专篇；场地设计应开展海绵城市设计，同时编制海绵城市专篇。</w:t>
      </w:r>
    </w:p>
    <w:p w14:paraId="7D8AB7D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6.1.4 绿色建材应用比例不低于40%。</w:t>
      </w:r>
    </w:p>
    <w:p w14:paraId="117838E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6.1.5 主体结构应合理采用高强度、高性能材料。混凝土结构中梁、柱、墙纵向受力普通钢筋和楼板应采用400MPa级及以上热轧带肋钢筋，应采用预拌混凝土和预拌砂浆；钢结构建筑中，宜采用高性能建筑结构用钢，钢材牌号Q355级及以上钢材占比不低于50%。</w:t>
      </w:r>
    </w:p>
    <w:p w14:paraId="6A46C69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6.1.6 内隔墙采用轻质墙体，可采用蒸压加气混凝土砌块、条板隔墙、模块化隔墙或其他干式工法施工的装配式内隔墙系统的建造方式。</w:t>
      </w:r>
    </w:p>
    <w:p w14:paraId="510976F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6.1.7 应采取有效措施降低暖通空调系统的末端系统及输配系统的能耗：</w:t>
      </w:r>
    </w:p>
    <w:p w14:paraId="0DAA1E13">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通风空调系统风机的单位风量耗功率比现行国家标准《公共建筑节能设计标准》GB50189的规定低20%；</w:t>
      </w:r>
    </w:p>
    <w:p w14:paraId="422A09DB">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集中供暖系统热水循环泵的耗电输热比、空调冷热水系统循环水泵的耗电输冷（热）比比现行国家标准《民用建筑供暖通风与空气调节设计规范》GB50736规定值低20%。</w:t>
      </w:r>
    </w:p>
    <w:p w14:paraId="56D6D2F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6.1.8 小区应设置能源管理系统，应在满足水、电、燃气等进行分户、分项计量的基础上，采用远程计量系统。</w:t>
      </w:r>
    </w:p>
    <w:p w14:paraId="46423DC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6.1.9 小区公共区照明、电梯用电、生活水泵、电热风幕、物业用电、小区活动室、小区食堂、应急照明等用电应独立计量。</w:t>
      </w:r>
    </w:p>
    <w:p w14:paraId="75AA9F7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6.1.10 2台及2台以上电梯集中排列时，应采取群控、变频调速或能量反馈等节能措施。</w:t>
      </w:r>
    </w:p>
    <w:p w14:paraId="7B694CD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6.1.11 应采用节能型电气设备及节能控制措施：</w:t>
      </w:r>
    </w:p>
    <w:p w14:paraId="37F4490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主要功能房间的照明功率密度值达到现行国家标准《建筑照明设计标准》GB/T50034规定的目标值；</w:t>
      </w:r>
    </w:p>
    <w:p w14:paraId="0DD9B1FF">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照明产品、电力变压器、水泵、风机等设备满足国家现行有关标准的能效等级2级要求。</w:t>
      </w:r>
    </w:p>
    <w:p w14:paraId="7DFCB39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6.1.12 用水器具和设备应满足现行国家标准《节水型产品通用技术条件》GB/T18870的有关要求；节水器具水效等级应达到2级。</w:t>
      </w:r>
    </w:p>
    <w:p w14:paraId="74A8BDC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6.1.13 应结合</w:t>
      </w:r>
      <w:r>
        <w:rPr>
          <w:rFonts w:hint="eastAsia" w:ascii="Times New Roman" w:hAnsi="Times New Roman" w:eastAsia="仿宋_GB2312" w:cs="Times New Roman"/>
          <w:color w:val="000000"/>
          <w:kern w:val="0"/>
          <w:sz w:val="32"/>
          <w:szCs w:val="32"/>
          <w:shd w:val="clear" w:color="auto" w:fill="FFFFFF"/>
          <w:lang w:bidi="ar"/>
        </w:rPr>
        <w:t>阜新</w:t>
      </w:r>
      <w:r>
        <w:rPr>
          <w:rFonts w:ascii="Times New Roman" w:hAnsi="Times New Roman" w:eastAsia="仿宋_GB2312" w:cs="Times New Roman"/>
          <w:color w:val="000000"/>
          <w:kern w:val="0"/>
          <w:sz w:val="32"/>
          <w:szCs w:val="32"/>
          <w:shd w:val="clear" w:color="auto" w:fill="FFFFFF"/>
          <w:lang w:bidi="ar"/>
        </w:rPr>
        <w:t>市气候和自然资源条件合理利用可再生能源，新建建筑应安装太阳能系统，如太阳能热利用系统或光伏发电系统等。</w:t>
      </w:r>
    </w:p>
    <w:p w14:paraId="578AB484">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6.2 提升项</w:t>
      </w:r>
    </w:p>
    <w:p w14:paraId="08E7E6F5">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降碳节能</w:t>
      </w:r>
    </w:p>
    <w:p w14:paraId="2A81725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 住宅外门窗抗风压性能、气密性、水密性应符合国家现行有关标准的规定。外窗气密性能不低于8级，外门及分隔供暖与非供暖空间的户门气密性能不低于6级；门窗洞口与墙体节点设置防水透气膜和隔汽膜。</w:t>
      </w:r>
    </w:p>
    <w:p w14:paraId="7876A5A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6.2.2外窗应采用节能型附框干法安装。外墙或窗口的保温层应完全覆盖附框和部分窗框，外门框、窗框或附框与墙体之间的缝隙应采用高效保温材料填塞密实并做好密封防水处理。</w:t>
      </w:r>
    </w:p>
    <w:p w14:paraId="0072E12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6.2.3 围护结构气密层应连续并包围整个外围护结构，围护结构洞口、电线盒、管线贯穿处等易发生气密性问题的部位应进行气密性专项设计。</w:t>
      </w:r>
    </w:p>
    <w:p w14:paraId="300B97FA">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6.2.4 场地海绵城市设计雨水系统应采取雨水管断接并引至地面生态设施；结合景观场地竖向设计，合理规划地表径流，合理布置海绵生态设施，使雨水有组织汇入雨水控制与利用设施；对符合透水条件的人行道、非机动车道及广场等应设置透水铺装地面；道路、广场及建筑物周边的绿地，宜采用下凹式绿地、雨水花园、生物滞留设施、植草沟等具备雨水调蓄功能的绿化方式。</w:t>
      </w:r>
    </w:p>
    <w:p w14:paraId="1D58B86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6.2.5 应分质供水，充分利用非传统水源，并应符合下列规定：</w:t>
      </w:r>
    </w:p>
    <w:p w14:paraId="2D293D8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 未在市政再生水管网覆盖范围内的项目，应设置雨水或中水回用系统；</w:t>
      </w:r>
    </w:p>
    <w:p w14:paraId="038A7598">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 冲厕、绿化灌溉、车库及道路冲洗、室外景观水体补水、洗车用水均应采用非传统水源。</w:t>
      </w:r>
    </w:p>
    <w:p w14:paraId="4D17B8C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6.2.6 绿化灌溉在节水灌溉的基础上，宜采用喷灌、微灌等节水技术，设置土壤湿度感应器、雨天自动关闭装置等节水控制措施，并宜采取夜间灌溉的节水灌溉制度。</w:t>
      </w:r>
    </w:p>
    <w:p w14:paraId="4F0C8D8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6.2.7 宜采用光伏发电作为补充电力能源，当采用光伏发电技术时，宜采用直流供配电系统。</w:t>
      </w:r>
    </w:p>
    <w:p w14:paraId="0171E3B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6.2.8 节水器具水效等级宜达到1级；涉水类家用电器如洗衣机、洗碗机、净水机等应采用节水型设备。</w:t>
      </w:r>
    </w:p>
    <w:p w14:paraId="786C173F">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低碳建造</w:t>
      </w:r>
    </w:p>
    <w:p w14:paraId="0132D0E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6.2.9 应就近取材，总重量70%的建筑材料运输距离不应超过500km。</w:t>
      </w:r>
    </w:p>
    <w:p w14:paraId="236A709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6.2.10 住宅建筑优先选用绿色和可再利用材料及利废建材，绿色建材应用比例不低于50%，可循环材料比例不低于10%；采用装配式混凝土结构、钢结构等低碳结构体系和装配式部品部件，外墙保温系统应采用保温结构一体化技术。</w:t>
      </w:r>
    </w:p>
    <w:p w14:paraId="5428B18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6.2.11 住宅建筑宜采用装配式装修，宜采用集成式厨房、集成式卫生间等集成部品，并进行管线分离设计、生产、安装一体化的工程做法。装修部品应采用通用性和互换性的标准化接口。采用集成厨房和集成卫生间的数量比例不宜低于90%。集成厨房中橱柜、设备，集成卫生间中洁具设备等应全部安装到位，且地面、墙面、吊顶等采用干式工法的应用比例不低于90%。</w:t>
      </w:r>
    </w:p>
    <w:p w14:paraId="5721C4F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6.2.12 住宅套内给水、供暖、电气管线采用设备管线与主体结构分离技术，管线分离应用比例大于50%，便于业主在不损伤住宅主体结构的前提下，进行线路改造或维修更换。</w:t>
      </w:r>
    </w:p>
    <w:p w14:paraId="013D132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6.2.13 采用光伏发电作为补充电力能源，优先采用直流供配电系统。</w:t>
      </w:r>
    </w:p>
    <w:p w14:paraId="451A7D35">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7 智慧便捷</w:t>
      </w:r>
    </w:p>
    <w:p w14:paraId="36AE735E">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7.1 控制项</w:t>
      </w:r>
    </w:p>
    <w:p w14:paraId="501B93D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7.1.1 小区主要出入口、单元门厅附近设置智能信报箱、快递柜，并预留电源。</w:t>
      </w:r>
    </w:p>
    <w:p w14:paraId="6350466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7.1.2 安防系统应符合下列规定：</w:t>
      </w:r>
    </w:p>
    <w:p w14:paraId="1C17A4EA">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1.公共区域应设置视频监控设备，老年及儿童活动场地应实现无死角监控，监控数据保留期限大于30天；</w:t>
      </w:r>
    </w:p>
    <w:p w14:paraId="4835ECE4">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2.小区出入口、单元门设置门禁系统，支持一卡通、指纹或人脸识别；</w:t>
      </w:r>
    </w:p>
    <w:p w14:paraId="77D00CF9">
      <w:pPr>
        <w:ind w:firstLine="640" w:firstLineChars="200"/>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3.应设置电子巡更系统，设置周界摄像机或电子围栏等防护设施。</w:t>
      </w:r>
    </w:p>
    <w:p w14:paraId="74BC76F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7.1.3 单元入口设置智能监测设备，防止电动自行车、液化气罐等易燃易爆品进入。</w:t>
      </w:r>
    </w:p>
    <w:p w14:paraId="166F003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7.1.4 小区地上地下应网络全覆盖，有无线网络需求的公共场所无线网络信号覆盖率100%；移动信号应全覆盖，数字电视网络应支撑小区全接入；信号强度满足通信相关技术要求。</w:t>
      </w:r>
    </w:p>
    <w:p w14:paraId="4BB7A4E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7.1.5 户内单独设置入户多媒体集线箱和智能家居控制箱，应独立供电，支持用户不少于3家运营商的选择，内置智能家居控制网关或预留安装条件，户内布线等级应满足语音、数据、视频等使用需求。</w:t>
      </w:r>
    </w:p>
    <w:p w14:paraId="056639E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7.1.6 应设置智慧住宅综合服务管理平台，通过开放的标准协议接口，实现各类系统数据互通和服务资源接入。</w:t>
      </w:r>
    </w:p>
    <w:p w14:paraId="030225B1">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7.1.7 小区应在高空坠物风险区域设置防高空抛物视频监控。</w:t>
      </w:r>
    </w:p>
    <w:p w14:paraId="677C6822">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7.2 提升项</w:t>
      </w:r>
    </w:p>
    <w:p w14:paraId="62E8C920">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数字家庭</w:t>
      </w:r>
    </w:p>
    <w:p w14:paraId="77031DA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 精装修住宅配置智能家居系统，接入照明、插座、家电等设备，实现智能控制。</w:t>
      </w:r>
    </w:p>
    <w:p w14:paraId="18EFE3B9">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7.2.2 智能家居系统配置智能中控屏，应集成光纤到户、有线电视、无线Wi-Fi、智能门锁、访客对讲、入侵报警、智能照明、智能互联、一键报警求助等功能。宜包含视频监控、家电监控、多媒体娱乐、环境监测、智能医护等。</w:t>
      </w:r>
    </w:p>
    <w:p w14:paraId="122AF2B8">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7.2.3 住宅外窗配备自动感应器，可连接智能家居、实现雨天可自动关窗等功能，支持手机APP远程控制。</w:t>
      </w:r>
    </w:p>
    <w:p w14:paraId="0AEDFFC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7.2.4 数字家庭系统具备数据安全保护措施，支持本地操作和远程控制，且外部网络故障不影响本地操作。</w:t>
      </w:r>
    </w:p>
    <w:p w14:paraId="5A7F6AF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7.2.5卧室至卫生间的走道墙面距地0.4m处宜设感应式嵌装脚灯。</w:t>
      </w:r>
    </w:p>
    <w:p w14:paraId="05697789">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智慧运维</w:t>
      </w:r>
    </w:p>
    <w:p w14:paraId="0DDB6C0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7.2.6 物业服务依托智慧物业管理服务平台，通过互联网和手机APP实现人行、车行、安防、资产管理、设备运维、生活缴费、网上报修等智能化管理，提升物业服务效率。</w:t>
      </w:r>
    </w:p>
    <w:p w14:paraId="36818F6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7.2.7 电梯应设置梯控系统，控制访客进入，并应与手机 APP、户内智能控制联动。</w:t>
      </w:r>
    </w:p>
    <w:p w14:paraId="650D4D3D">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7.2.8 小区显著位置应设置显示屏，推送业主群公告、空气质量、温度、气象灾害预警等信息。</w:t>
      </w:r>
    </w:p>
    <w:p w14:paraId="493544FF">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7.2.9 引入自助洗车装置、无人售货机等智能自助生活设施。</w:t>
      </w:r>
    </w:p>
    <w:p w14:paraId="4B663873">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Ⅲ 智慧服务</w:t>
      </w:r>
    </w:p>
    <w:p w14:paraId="0CD2418E">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7.2.10 宜设置小区智慧物业综合服务平台，将小区管理、业主（租户）管理、来访管理、设施运维、小区安防、故障报修、装修申请、数字家庭、通知公告、投诉建议等功能进行整合，实现统一管理。可拓展家政服务、缴费管理、养老服务、电子商城等功能。</w:t>
      </w:r>
    </w:p>
    <w:p w14:paraId="0A5647EC">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7.2.11 小区智慧物业综合服务平台应采取网络隔离、防火墙等安全措施，保障信息和隐私安全；具备灾害事故预警功能，与上级应急指挥系统互联互通。</w:t>
      </w:r>
    </w:p>
    <w:p w14:paraId="4A6EBA3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7.2.12 设置防灾预警系统，包含可燃气体自动报警、消防感温感烟探测等功能，将报警信息推送至智能家居控制中心或物业中心。同时具备消防疏散通道、消防车道监测预警功能。</w:t>
      </w:r>
    </w:p>
    <w:p w14:paraId="2922C938">
      <w:pPr>
        <w:jc w:val="center"/>
        <w:rPr>
          <w:rFonts w:ascii="Times New Roman" w:hAnsi="Times New Roman" w:eastAsia="黑体" w:cs="Times New Roman"/>
          <w:color w:val="000000"/>
          <w:kern w:val="0"/>
          <w:sz w:val="44"/>
          <w:szCs w:val="44"/>
          <w:shd w:val="clear" w:color="auto" w:fill="FFFFFF"/>
          <w:lang w:bidi="ar"/>
        </w:rPr>
      </w:pPr>
      <w:r>
        <w:rPr>
          <w:rFonts w:ascii="Times New Roman" w:hAnsi="Times New Roman" w:eastAsia="黑体" w:cs="Times New Roman"/>
          <w:color w:val="000000"/>
          <w:kern w:val="0"/>
          <w:sz w:val="44"/>
          <w:szCs w:val="44"/>
          <w:shd w:val="clear" w:color="auto" w:fill="FFFFFF"/>
          <w:lang w:bidi="ar"/>
        </w:rPr>
        <w:t xml:space="preserve">8 </w:t>
      </w:r>
      <w:r>
        <w:rPr>
          <w:rFonts w:hint="eastAsia" w:ascii="Times New Roman" w:hAnsi="Times New Roman" w:eastAsia="黑体" w:cs="Times New Roman"/>
          <w:color w:val="000000"/>
          <w:kern w:val="0"/>
          <w:sz w:val="44"/>
          <w:szCs w:val="44"/>
          <w:shd w:val="clear" w:color="auto" w:fill="FFFFFF"/>
          <w:lang w:bidi="ar"/>
        </w:rPr>
        <w:t>服务管理</w:t>
      </w:r>
    </w:p>
    <w:p w14:paraId="23655D89">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8.1 控制项</w:t>
      </w:r>
    </w:p>
    <w:p w14:paraId="2DC63C1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8.1.1 小区交付后，物业服务标准不低于《物业服务合同》约定，包含房屋及设施设备维护、环境维护、24h秩序维护等内容；每年至少开展一次物业服务满意度调查。</w:t>
      </w:r>
    </w:p>
    <w:p w14:paraId="33FD747B">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8.1.2 建设单位在物业管理区域内设立房屋售后服务中心，公示维保单位信息，承担物业保修责任。</w:t>
      </w:r>
    </w:p>
    <w:p w14:paraId="107152B2">
      <w:pPr>
        <w:jc w:val="center"/>
        <w:rPr>
          <w:rFonts w:ascii="Times New Roman" w:hAnsi="Times New Roman" w:eastAsia="楷体" w:cs="Times New Roman"/>
          <w:color w:val="000000"/>
          <w:kern w:val="0"/>
          <w:sz w:val="32"/>
          <w:szCs w:val="32"/>
          <w:shd w:val="clear" w:color="auto" w:fill="FFFFFF"/>
          <w:lang w:bidi="ar"/>
        </w:rPr>
      </w:pPr>
      <w:r>
        <w:rPr>
          <w:rFonts w:ascii="Times New Roman" w:hAnsi="Times New Roman" w:eastAsia="楷体" w:cs="Times New Roman"/>
          <w:color w:val="000000"/>
          <w:kern w:val="0"/>
          <w:sz w:val="32"/>
          <w:szCs w:val="32"/>
          <w:shd w:val="clear" w:color="auto" w:fill="FFFFFF"/>
          <w:lang w:bidi="ar"/>
        </w:rPr>
        <w:t>8.2 提升项</w:t>
      </w:r>
    </w:p>
    <w:p w14:paraId="1931771A">
      <w:pPr>
        <w:jc w:val="cente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Ⅰ 邻里和谐</w:t>
      </w:r>
    </w:p>
    <w:p w14:paraId="21438734">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8.2.1 每年定期组织业主互动活动：开展1次及以上安全应急演习，1次及以上健康生活或文化艺术类社区活动，1次及以上物业与业主代表交流座谈活动；开展针对老年人群的健康文化活动。</w:t>
      </w:r>
    </w:p>
    <w:p w14:paraId="297A1125">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8.2.2 引导低碳生活方式，建立绿色低碳教育宣传机制，编制绿色低碳生活手册；定期检测小区污染物、噪声等指标并公示。</w:t>
      </w:r>
    </w:p>
    <w:p w14:paraId="656A2556">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8.2.3 设置专门的宠物友好空间，配备清晰标识、适合宠物活动的地面材料及排泄物收集设施。</w:t>
      </w:r>
    </w:p>
    <w:p w14:paraId="4CD21552">
      <w:pPr>
        <w:jc w:val="center"/>
        <w:rPr>
          <w:rFonts w:ascii="Times New Roman" w:hAnsi="Times New Roman" w:eastAsia="仿宋_GB2312" w:cs="Times New Roman"/>
          <w:b/>
          <w:bCs/>
          <w:color w:val="000000"/>
          <w:kern w:val="0"/>
          <w:sz w:val="32"/>
          <w:szCs w:val="32"/>
          <w:shd w:val="clear" w:color="auto" w:fill="FFFFFF"/>
          <w:lang w:bidi="ar"/>
        </w:rPr>
      </w:pPr>
      <w:r>
        <w:rPr>
          <w:rFonts w:ascii="Times New Roman" w:hAnsi="Times New Roman" w:eastAsia="仿宋_GB2312" w:cs="Times New Roman"/>
          <w:b/>
          <w:bCs/>
          <w:color w:val="000000"/>
          <w:kern w:val="0"/>
          <w:sz w:val="32"/>
          <w:szCs w:val="32"/>
          <w:shd w:val="clear" w:color="auto" w:fill="FFFFFF"/>
          <w:lang w:bidi="ar"/>
        </w:rPr>
        <w:t>Ⅱ 品质管理</w:t>
      </w:r>
    </w:p>
    <w:p w14:paraId="66B08EF2">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8.2.4 建立住宅专项维修资金和社会资金制度，设立房屋定期体检制度和常态化体检工作机制。</w:t>
      </w:r>
    </w:p>
    <w:p w14:paraId="72254373">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8.2.5 物业服务实行管家制，每个管家服务业主不超过300户，对接率不低于实际住用户数的98%；提供工作日12小时、节假日8小时专人接待服务，24小时值班受理。</w:t>
      </w:r>
    </w:p>
    <w:p w14:paraId="1443978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8.2.6 住宅小区交付时，建设单位向物业服务单位及购房者提供完善的住宅使用手册，包含平面布置、结构、设备、管线、装修清单及产品使用说明书等内容。</w:t>
      </w:r>
    </w:p>
    <w:p w14:paraId="0AE56B80">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8.2.7 制定完善的垃圾管理制度，生活废弃物分类收集，每日清运不少于1次，根据垃圾产生量动态调整清运频率。</w:t>
      </w:r>
    </w:p>
    <w:p w14:paraId="6DB29137">
      <w:pPr>
        <w:rPr>
          <w:rFonts w:ascii="Times New Roman" w:hAnsi="Times New Roman" w:eastAsia="仿宋_GB2312" w:cs="Times New Roman"/>
          <w:color w:val="000000"/>
          <w:kern w:val="0"/>
          <w:sz w:val="32"/>
          <w:szCs w:val="32"/>
          <w:shd w:val="clear" w:color="auto" w:fill="FFFFFF"/>
          <w:lang w:bidi="ar"/>
        </w:rPr>
      </w:pPr>
      <w:r>
        <w:rPr>
          <w:rFonts w:ascii="Times New Roman" w:hAnsi="Times New Roman" w:eastAsia="仿宋_GB2312" w:cs="Times New Roman"/>
          <w:color w:val="000000"/>
          <w:kern w:val="0"/>
          <w:sz w:val="32"/>
          <w:szCs w:val="32"/>
          <w:shd w:val="clear" w:color="auto" w:fill="FFFFFF"/>
          <w:lang w:bidi="ar"/>
        </w:rPr>
        <w:t>8.2.8突发事件应急预案、年度实施管理计划应完备。</w:t>
      </w:r>
    </w:p>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Segoe UI">
    <w:panose1 w:val="020B0502040204020203"/>
    <w:charset w:val="00"/>
    <w:family w:val="swiss"/>
    <w:pitch w:val="default"/>
    <w:sig w:usb0="E10022FF" w:usb1="C000E47F" w:usb2="00000029" w:usb3="00000000" w:csb0="200001DF" w:csb1="2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BF803">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DD812">
                          <w:pPr>
                            <w:pStyle w:val="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4AEDD812">
                    <w:pPr>
                      <w:pStyle w:val="2"/>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A7440">
    <w:pPr>
      <w:pStyle w:val="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1D6F32">
                          <w:pPr>
                            <w:pStyle w:val="2"/>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5B1D6F32">
                    <w:pPr>
                      <w:pStyle w:val="2"/>
                    </w:pPr>
                    <w:r>
                      <w:fldChar w:fldCharType="begin"/>
                    </w:r>
                    <w:r>
                      <w:instrText xml:space="preserve"> PAGE  \* MERGEFORMAT </w:instrText>
                    </w:r>
                    <w:r>
                      <w:fldChar w:fldCharType="separate"/>
                    </w:r>
                    <w:r>
                      <w:t>26</w:t>
                    </w:r>
                    <w:r>
                      <w:fldChar w:fldCharType="end"/>
                    </w:r>
                  </w:p>
                </w:txbxContent>
              </v:textbox>
            </v:shape>
          </w:pict>
        </mc:Fallback>
      </mc:AlternateContent>
    </w:r>
    <w:r>
      <w:rPr>
        <w:rFonts w:hint="eastAsia"/>
        <w:lang w:eastAsia="zh-CN"/>
      </w:rPr>
      <w:tab/>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E44"/>
    <w:rsid w:val="000E2A64"/>
    <w:rsid w:val="00360E44"/>
    <w:rsid w:val="0048711A"/>
    <w:rsid w:val="005A5982"/>
    <w:rsid w:val="008D6D57"/>
    <w:rsid w:val="02CD5EE7"/>
    <w:rsid w:val="0D197B03"/>
    <w:rsid w:val="1C876837"/>
    <w:rsid w:val="3DC47D6E"/>
    <w:rsid w:val="3E981275"/>
    <w:rsid w:val="42364826"/>
    <w:rsid w:val="528D7F54"/>
    <w:rsid w:val="5CCB274E"/>
    <w:rsid w:val="6A3676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5">
    <w:name w:val="Table Grid"/>
    <w:basedOn w:val="4"/>
    <w:qFormat/>
    <w:uiPriority w:val="0"/>
    <w:pPr>
      <w:widowControl w:val="0"/>
      <w:jc w:val="both"/>
    </w:pPr>
    <w:rPr>
      <w:rFonts w:ascii="Times New Roman" w:hAnsi="Times New Roman"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c7a0f50f-de60-4b54-8b11-92581fbc4527</errorID>
      <errorWord>安全、舒适、绿色、智慧的“好房子”</errorWord>
      <group>L1_Political</group>
      <groupName>政治性问题</groupName>
      <ability>L2_Keyword</ability>
      <abilityName>固定表述</abilityName>
      <candidateList>
        <item>安全舒适绿色智慧的“好房子”</item>
      </candidateList>
      <explain>注意检查当前固定表述标点是否使用规范。</explain>
      <paraID>72FB5360</paraID>
      <start>23</start>
      <end>40</end>
      <status>ignored</status>
      <modifiedWord/>
      <trackRevisions>false</trackRevisions>
    </reviewItem>
    <reviewItem>
      <errorID>c21eae96-414b-48d6-90f5-fcdfd56bd3e2</errorID>
      <errorWord>总则、</errorWord>
      <group>L1_Word</group>
      <groupName>字词问题</groupName>
      <ability>L2_Typo</ability>
      <abilityName>字词错误</abilityName>
      <candidateList>
        <item> 总则；</item>
      </candidateList>
      <explain/>
      <paraID>293485E0</paraID>
      <start>12</start>
      <end>15</end>
      <status>unmodified</status>
      <modifiedWord/>
      <trackRevisions>false</trackRevisions>
    </reviewItem>
    <reviewItem>
      <errorID>ab45c2dd-89f2-46cf-8606-1515b507dafc</errorID>
      <errorWord>一般</errorWord>
      <group>L1_Word</group>
      <groupName>字词问题</groupName>
      <ability>L2_Typo</ability>
      <abilityName>字词错误</abilityName>
      <candidateList>
        <item> 一般</item>
      </candidateList>
      <explain/>
      <paraID>293485E0</paraID>
      <start>17</start>
      <end>19</end>
      <status>unmodified</status>
      <modifiedWord/>
      <trackRevisions>false</trackRevisions>
    </reviewItem>
    <reviewItem>
      <errorID>2b4ae8f8-af0d-4c01-ae41-54994cbab6f7</errorID>
      <errorWord>、</errorWord>
      <group>L1_Punc</group>
      <groupName>标点问题</groupName>
      <ability>L2_Punc_CN</ability>
      <abilityName>标点符号问题</abilityName>
      <candidateList>
        <item>；</item>
      </candidateList>
      <explain/>
      <paraID>293485E0</paraID>
      <start>21</start>
      <end>22</end>
      <status>unmodified</status>
      <modifiedWord/>
      <trackRevisions>false</trackRevisions>
    </reviewItem>
    <reviewItem>
      <errorID>96fbe9a3-45f7-40ff-ae81-94a30d856af8</errorID>
      <errorWord>安全</errorWord>
      <group>L1_Word</group>
      <groupName>字词问题</groupName>
      <ability>L2_Typo</ability>
      <abilityName>字词错误</abilityName>
      <candidateList>
        <item> 安全</item>
      </candidateList>
      <explain/>
      <paraID>293485E0</paraID>
      <start>24</start>
      <end>26</end>
      <status>unmodified</status>
      <modifiedWord/>
      <trackRevisions>false</trackRevisions>
    </reviewItem>
    <reviewItem>
      <errorID>c4eb2372-1f59-443a-97ff-77011a7732d9</errorID>
      <errorWord>、</errorWord>
      <group>L1_Punc</group>
      <groupName>标点问题</groupName>
      <ability>L2_Punc_CN</ability>
      <abilityName>标点符号问题</abilityName>
      <candidateList>
        <item>；</item>
      </candidateList>
      <explain/>
      <paraID>293485E0</paraID>
      <start>28</start>
      <end>29</end>
      <status>unmodified</status>
      <modifiedWord/>
      <trackRevisions>false</trackRevisions>
    </reviewItem>
    <reviewItem>
      <errorID>c39e5be9-3bb2-419d-a755-6fddb51fa7e5</errorID>
      <errorWord>健康</errorWord>
      <group>L1_Word</group>
      <groupName>字词问题</groupName>
      <ability>L2_Typo</ability>
      <abilityName>字词错误</abilityName>
      <candidateList>
        <item> 健康</item>
      </candidateList>
      <explain/>
      <paraID>293485E0</paraID>
      <start>31</start>
      <end>33</end>
      <status>unmodified</status>
      <modifiedWord/>
      <trackRevisions>false</trackRevisions>
    </reviewItem>
    <reviewItem>
      <errorID>02388c81-c979-480e-b73b-6ae2f5260037</errorID>
      <errorWord>、</errorWord>
      <group>L1_Punc</group>
      <groupName>标点问题</groupName>
      <ability>L2_Punc_CN</ability>
      <abilityName>标点符号问题</abilityName>
      <candidateList>
        <item>；</item>
      </candidateList>
      <explain/>
      <paraID>293485E0</paraID>
      <start>35</start>
      <end>36</end>
      <status>unmodified</status>
      <modifiedWord/>
      <trackRevisions>false</trackRevisions>
    </reviewItem>
    <reviewItem>
      <errorID>35e9c6b6-a310-436b-bea7-f0753a508a13</errorID>
      <errorWord>宜居</errorWord>
      <group>L1_Word</group>
      <groupName>字词问题</groupName>
      <ability>L2_Typo</ability>
      <abilityName>字词错误</abilityName>
      <candidateList>
        <item> 宜居</item>
      </candidateList>
      <explain/>
      <paraID>293485E0</paraID>
      <start>38</start>
      <end>40</end>
      <status>unmodified</status>
      <modifiedWord/>
      <trackRevisions>false</trackRevisions>
    </reviewItem>
    <reviewItem>
      <errorID>41028245-87d1-4767-92aa-c3f555df0877</errorID>
      <errorWord>、</errorWord>
      <group>L1_Punc</group>
      <groupName>标点问题</groupName>
      <ability>L2_Punc_CN</ability>
      <abilityName>标点符号问题</abilityName>
      <candidateList>
        <item>；</item>
      </candidateList>
      <explain/>
      <paraID>293485E0</paraID>
      <start>42</start>
      <end>43</end>
      <status>unmodified</status>
      <modifiedWord/>
      <trackRevisions>false</trackRevisions>
    </reviewItem>
    <reviewItem>
      <errorID>241c997e-904d-41e2-be49-1264c66645cf</errorID>
      <errorWord>绿色</errorWord>
      <group>L1_Word</group>
      <groupName>字词问题</groupName>
      <ability>L2_Typo</ability>
      <abilityName>字词错误</abilityName>
      <candidateList>
        <item> 绿色</item>
      </candidateList>
      <explain/>
      <paraID>293485E0</paraID>
      <start>45</start>
      <end>47</end>
      <status>unmodified</status>
      <modifiedWord/>
      <trackRevisions>false</trackRevisions>
    </reviewItem>
    <reviewItem>
      <errorID>20bb92fc-d10a-496a-a389-0d6781566f43</errorID>
      <errorWord>、</errorWord>
      <group>L1_Punc</group>
      <groupName>标点问题</groupName>
      <ability>L2_Punc_CN</ability>
      <abilityName>标点符号问题</abilityName>
      <candidateList>
        <item>；</item>
      </candidateList>
      <explain/>
      <paraID>293485E0</paraID>
      <start>49</start>
      <end>50</end>
      <status>unmodified</status>
      <modifiedWord/>
      <trackRevisions>false</trackRevisions>
    </reviewItem>
    <reviewItem>
      <errorID>91e80b79-ac3c-4834-8b88-b0fce18f9da7</errorID>
      <errorWord>智慧</errorWord>
      <group>L1_Word</group>
      <groupName>字词问题</groupName>
      <ability>L2_Typo</ability>
      <abilityName>字词错误</abilityName>
      <candidateList>
        <item> 智慧</item>
      </candidateList>
      <explain/>
      <paraID>293485E0</paraID>
      <start>52</start>
      <end>54</end>
      <status>unmodified</status>
      <modifiedWord/>
      <trackRevisions>false</trackRevisions>
    </reviewItem>
    <reviewItem>
      <errorID>b910e831-4da9-4945-a8b9-d8279ac1c872</errorID>
      <errorWord>、</errorWord>
      <group>L1_Punc</group>
      <groupName>标点问题</groupName>
      <ability>L2_Punc_CN</ability>
      <abilityName>标点符号问题</abilityName>
      <candidateList>
        <item>；</item>
      </candidateList>
      <explain/>
      <paraID>293485E0</paraID>
      <start>56</start>
      <end>57</end>
      <status>unmodified</status>
      <modifiedWord/>
      <trackRevisions>false</trackRevisions>
    </reviewItem>
    <reviewItem>
      <errorID>cd34f2ea-94af-4613-8c29-c7a12a2aa3b0</errorID>
      <errorWord>服务</errorWord>
      <group>L1_Word</group>
      <groupName>字词问题</groupName>
      <ability>L2_Typo</ability>
      <abilityName>字词错误</abilityName>
      <candidateList>
        <item> 服务</item>
      </candidateList>
      <explain/>
      <paraID>293485E0</paraID>
      <start>59</start>
      <end>61</end>
      <status>unmodified</status>
      <modifiedWord/>
      <trackRevisions>false</trackRevisions>
    </reviewItem>
    <reviewItem>
      <errorID>2cf5c92d-755c-455f-b8d6-135170307422</errorID>
      <errorWord>安全、舒适、绿色、智慧的“好房子”</errorWord>
      <group>L1_Political</group>
      <groupName>政治性问题</groupName>
      <ability>L2_Keyword</ability>
      <abilityName>固定表述</abilityName>
      <candidateList>
        <item>安全舒适绿色智慧的“好房子”</item>
      </candidateList>
      <explain>注意检查当前固定表述标点是否使用规范。</explain>
      <paraID>354B8CBE</paraID>
      <start>32</start>
      <end>49</end>
      <status>unmodified</status>
      <modifiedWord/>
      <trackRevisions>false</trackRevisions>
    </reviewItem>
    <reviewItem>
      <errorID>894ef90d-18d7-44f5-9b30-8c83ba0eb68a</errorID>
      <errorWord>：</errorWord>
      <group>L1_Punc</group>
      <groupName>标点问题</groupName>
      <ability>L2_Punc_CN</ability>
      <abilityName>标点符号问题</abilityName>
      <candidateList>
        <item>。</item>
      </candidateList>
      <explain/>
      <paraID>77C230A9</paraID>
      <start>24</start>
      <end>25</end>
      <status>unmodified</status>
      <modifiedWord/>
      <trackRevisions>false</trackRevisions>
    </reviewItem>
    <reviewItem>
      <errorID>b2b1d6b3-0dd6-4398-94d8-3dea0b1912a6</errorID>
      <errorWord>T235</errorWord>
      <group>L1_Word</group>
      <groupName>字词问题</groupName>
      <ability>L2_Typo</ability>
      <abilityName>字词错误</abilityName>
      <candidateList>
        <item>T 235</item>
      </candidateList>
      <explain/>
      <paraID>77C230A9</paraID>
      <start>80</start>
      <end>84</end>
      <status>unmodified</status>
      <modifiedWord/>
      <trackRevisions>false</trackRevisions>
    </reviewItem>
    <reviewItem>
      <errorID>905af1c1-5263-47e4-a0cd-c27fd662d7ae</errorID>
      <errorWord>T31433</errorWord>
      <group>L1_Word</group>
      <groupName>字词问题</groupName>
      <ability>L2_Typo</ability>
      <abilityName>字词错误</abilityName>
      <candidateList>
        <item>T 31433</item>
      </candidateList>
      <explain/>
      <paraID>77C230A9</paraID>
      <start>118</start>
      <end>124</end>
      <status>unmodified</status>
      <modifiedWord/>
      <trackRevisions>false</trackRevisions>
    </reviewItem>
    <reviewItem>
      <errorID>361d8523-c80e-45a9-b4f0-c5356bb4e715</errorID>
      <errorWord>GB50345</errorWord>
      <group>L1_Word</group>
      <groupName>字词问题</groupName>
      <ability>L2_Typo</ability>
      <abilityName>字词错误</abilityName>
      <candidateList>
        <item>GB 50345</item>
      </candidateList>
      <explain/>
      <paraID>77C230A9</paraID>
      <start>161</start>
      <end>168</end>
      <status>unmodified</status>
      <modifiedWord/>
      <trackRevisions>false</trackRevisions>
    </reviewItem>
    <reviewItem>
      <errorID>4bf77f25-7e5f-4755-a092-659350d52adb</errorID>
      <errorWord>充分利用</errorWord>
      <group>L1_Grammar</group>
      <groupName>语法问题</groupName>
      <ability>L2_Grammar</ability>
      <abilityName>语法错误</abilityName>
      <candidateList>
        <item>，应充分利用</item>
      </candidateList>
      <explain/>
      <paraID>19345F4C</paraID>
      <start>67</start>
      <end>71</end>
      <status>unmodified</status>
      <modifiedWord/>
      <trackRevisions>false</trackRevisions>
    </reviewItem>
    <reviewItem>
      <errorID>6976daa8-5490-4d9e-a7da-a81303462027</errorID>
      <errorWord>可见地</errorWord>
      <group>L1_Word</group>
      <groupName>字词问题</groupName>
      <ability>L2_Typo</ability>
      <abilityName>字词错误</abilityName>
      <candidateList>
        <item>可见</item>
      </candidateList>
      <explain/>
      <paraID>19345F4C</paraID>
      <start>78</start>
      <end>81</end>
      <status>unmodified</status>
      <modifiedWord/>
      <trackRevisions>false</trackRevisions>
    </reviewItem>
    <reviewItem>
      <errorID>01e1bafa-6fa5-43df-a854-d55a39e3a4ad</errorID>
      <errorWord>具具备</errorWord>
      <group>L1_Word</group>
      <groupName>字词问题</groupName>
      <ability>L2_Typo</ability>
      <abilityName>字词错误</abilityName>
      <candidateList>
        <item>具备</item>
      </candidateList>
      <explain/>
      <paraID>2941E4AE</paraID>
      <start>78</start>
      <end>81</end>
      <status>unmodified</status>
      <modifiedWord/>
      <trackRevisions>false</trackRevisions>
    </reviewItem>
    <reviewItem>
      <errorID>1101651e-fcd4-4cde-820c-4d3c68eb9f9b</errorID>
      <errorWord>。</errorWord>
      <group>L1_Punc</group>
      <groupName>标点问题</groupName>
      <ability>L2_Punc_CN</ability>
      <abilityName>标点符号问题</abilityName>
      <candidateList>
        <item>%。</item>
      </candidateList>
      <explain/>
      <paraID>7B41D75F</paraID>
      <start>136</start>
      <end>137</end>
      <status>unmodified</status>
      <modifiedWord/>
      <trackRevisions>false</trackRevisions>
    </reviewItem>
    <reviewItem>
      <errorID>867cba36-f90c-4820-adf2-f1310104a42a</errorID>
      <errorWord>应该</errorWord>
      <group>L1_Word</group>
      <groupName>字词问题</groupName>
      <ability>L2_Typo</ability>
      <abilityName>字词错误</abilityName>
      <candidateList>
        <item>应</item>
      </candidateList>
      <explain/>
      <paraID> CD913C1</paraID>
      <start>101</start>
      <end>103</end>
      <status>unmodified</status>
      <modifiedWord/>
      <trackRevisions>false</trackRevisions>
    </reviewItem>
    <reviewItem>
      <errorID>2175cbc0-5b84-48f8-9d9f-e700824b352b</errorID>
      <errorWord>400m2</errorWord>
      <group>L1_Word</group>
      <groupName>字词问题</groupName>
      <ability>L2_Typo</ability>
      <abilityName>字词错误</abilityName>
      <candidateList>
        <item>400m²</item>
      </candidateList>
      <explain/>
      <paraID> CD913C1</paraID>
      <start>110</start>
      <end>115</end>
      <status>unmodified</status>
      <modifiedWord/>
      <trackRevisions>false</trackRevisions>
    </reviewItem>
    <reviewItem>
      <errorID>b056a06d-68c1-4eef-9be6-821608c1eb4f</errorID>
      <errorWord>一个</errorWord>
      <group>L1_Word</group>
      <groupName>字词问题</groupName>
      <ability>L2_Typo</ability>
      <abilityName>字词错误</abilityName>
      <candidateList>
        <item>1个</item>
      </candidateList>
      <explain/>
      <paraID>41EA282B</paraID>
      <start>66</start>
      <end>68</end>
      <status>unmodified</status>
      <modifiedWord/>
      <trackRevisions>false</trackRevisions>
    </reviewItem>
    <reviewItem>
      <errorID>27a49c4d-6f2f-451f-bd22-f3253ffe11a6</errorID>
      <errorWord>；</errorWord>
      <group>L1_Punc</group>
      <groupName>标点问题</groupName>
      <ability>L2_Punc_CN</ability>
      <abilityName>标点符号问题</abilityName>
      <candidateList>
        <item/>
      </candidateList>
      <explain/>
      <paraID>41EA282B</paraID>
      <start>80</start>
      <end>81</end>
      <status>unmodified</status>
      <modifiedWord/>
      <trackRevisions>false</trackRevisions>
    </reviewItem>
    <reviewItem>
      <errorID>1a03f451-ceea-41fd-a034-4f3ca87335c9</errorID>
      <errorWord>居住空间达标，</errorWord>
      <group>L1_Grammar</group>
      <groupName>语法问题</groupName>
      <ability>L2_Grammar</ability>
      <abilityName>语法错误</abilityName>
      <candidateList>
        <item>；</item>
      </candidateList>
      <explain/>
      <paraID>41EA282B</paraID>
      <start>82</start>
      <end>89</end>
      <status>unmodified</status>
      <modifiedWord/>
      <trackRevisions>false</trackRevisions>
    </reviewItem>
    <reviewItem>
      <errorID>02bddf49-903a-4a8f-b3d2-b37ba4e2f01e</errorID>
      <errorWord>平急两用</errorWord>
      <group>L1_Political</group>
      <groupName>政治性问题</groupName>
      <ability>L2_Keyword</ability>
      <abilityName>固定表述</abilityName>
      <candidateList>
        <item>“平急两用”</item>
      </candidateList>
      <explain>注意检查当前固定表述标点是否使用规范。</explain>
      <paraID>29E1B0BC</paraID>
      <start>35</start>
      <end>39</end>
      <status>unmodified</status>
      <modifiedWord/>
      <trackRevisions>false</trackRevisions>
    </reviewItem>
    <reviewItem>
      <errorID>eb9ed40f-6cda-4d17-a0e3-f7c636639ee1</errorID>
      <errorWord> </errorWord>
      <group>L1_Punc</group>
      <groupName>标点问题</groupName>
      <ability>L2_Punc_CN</ability>
      <abilityName>标点符号问题</abilityName>
      <candidateList>
        <item/>
      </candidateList>
      <explain>此处空格冗余，建议删除。</explain>
      <paraID>230010C4</paraID>
      <start>28</start>
      <end>29</end>
      <status>unmodified</status>
      <modifiedWord/>
      <trackRevisions>false</trackRevisions>
    </reviewItem>
    <reviewItem>
      <errorID>14b64242-61da-4225-8630-4a719a8861ea</errorID>
      <errorWord>小区</errorWord>
      <group>L1_Word</group>
      <groupName>字词问题</groupName>
      <ability>L2_Typo</ability>
      <abilityName>字词错误</abilityName>
      <candidateList>
        <item> 小区</item>
      </candidateList>
      <explain/>
      <paraID>38F1321C</paraID>
      <start>6</start>
      <end>8</end>
      <status>unmodified</status>
      <modifiedWord/>
      <trackRevisions>false</trackRevisions>
    </reviewItem>
    <reviewItem>
      <errorID>92e50335-16af-4d38-a406-3b3f8ac57907</errorID>
      <errorWord>设有</errorWord>
      <group>L1_Word</group>
      <groupName>字词问题</groupName>
      <ability>L2_Typo</ability>
      <abilityName>字词错误</abilityName>
      <candidateList>
        <item> 设有</item>
      </candidateList>
      <explain/>
      <paraID>4BDCCCF6</paraID>
      <start>6</start>
      <end>8</end>
      <status>unmodified</status>
      <modifiedWord/>
      <trackRevisions>false</trackRevisions>
    </reviewItem>
    <reviewItem>
      <errorID>70368541-69ff-4f5d-84c7-84b6467194de</errorID>
      <errorWord>15m2</errorWord>
      <group>L1_Word</group>
      <groupName>字词问题</groupName>
      <ability>L2_Typo</ability>
      <abilityName>字词错误</abilityName>
      <candidateList>
        <item>15m²</item>
      </candidateList>
      <explain/>
      <paraID>42BF76D7</paraID>
      <start>31</start>
      <end>35</end>
      <status>unmodified</status>
      <modifiedWord/>
      <trackRevisions>false</trackRevisions>
    </reviewItem>
    <reviewItem>
      <errorID>ba87e8f3-e7d6-402b-a6c3-7204bc9941ce</errorID>
      <errorWord>住宅</errorWord>
      <group>L1_Word</group>
      <groupName>字词问题</groupName>
      <ability>L2_Typo</ability>
      <abilityName>字词错误</abilityName>
      <candidateList>
        <item> 住宅</item>
      </candidateList>
      <explain/>
      <paraID>6EB3CFA4</paraID>
      <start>6</start>
      <end>8</end>
      <status>unmodified</status>
      <modifiedWord/>
      <trackRevisions>false</trackRevisions>
    </reviewItem>
    <reviewItem>
      <errorID>f518c61e-52dc-45d9-894f-66704e264ce2</errorID>
      <errorWord>住宅</errorWord>
      <group>L1_Word</group>
      <groupName>字词问题</groupName>
      <ability>L2_Typo</ability>
      <abilityName>字词错误</abilityName>
      <candidateList>
        <item> 住宅</item>
      </candidateList>
      <explain/>
      <paraID> 4ABD513</paraID>
      <start>6</start>
      <end>8</end>
      <status>unmodified</status>
      <modifiedWord/>
      <trackRevisions>false</trackRevisions>
    </reviewItem>
    <reviewItem>
      <errorID>96c2b59a-bca7-45ba-8b4f-9fdd578f8155</errorID>
      <errorWord>90m2</errorWord>
      <group>L1_Word</group>
      <groupName>字词问题</groupName>
      <ability>L2_Typo</ability>
      <abilityName>字词错误</abilityName>
      <candidateList>
        <item>90m²</item>
      </candidateList>
      <explain/>
      <paraID> 4ABD513</paraID>
      <start>15</start>
      <end>19</end>
      <status>unmodified</status>
      <modifiedWord/>
      <trackRevisions>false</trackRevisions>
    </reviewItem>
    <reviewItem>
      <errorID>3fac75c6-83d3-45f6-b8e1-c410d4beb854</errorID>
      <errorWord>5m2</errorWord>
      <group>L1_Word</group>
      <groupName>字词问题</groupName>
      <ability>L2_Typo</ability>
      <abilityName>字词错误</abilityName>
      <candidateList>
        <item>5m²</item>
      </candidateList>
      <explain/>
      <paraID> 4ABD513</paraID>
      <start>31</start>
      <end>34</end>
      <status>unmodified</status>
      <modifiedWord/>
      <trackRevisions>false</trackRevisions>
    </reviewItem>
    <reviewItem>
      <errorID>a1c73432-2b3c-497a-9213-ad06f6acd847</errorID>
      <errorWord>140m2</errorWord>
      <group>L1_Word</group>
      <groupName>字词问题</groupName>
      <ability>L2_Typo</ability>
      <abilityName>字词错误</abilityName>
      <candidateList>
        <item>140m²</item>
      </candidateList>
      <explain/>
      <paraID> 4ABD513</paraID>
      <start>38</start>
      <end>43</end>
      <status>unmodified</status>
      <modifiedWord/>
      <trackRevisions>false</trackRevisions>
    </reviewItem>
    <reviewItem>
      <errorID>894cc45b-3b62-4cc8-a8bf-1309d3bd4d6a</errorID>
      <errorWord>0m2</errorWord>
      <group>L1_Word</group>
      <groupName>字词问题</groupName>
      <ability>L2_Typo</ability>
      <abilityName>字词错误</abilityName>
      <candidateList>
        <item>0m²</item>
      </candidateList>
      <explain/>
      <paraID> 4ABD513</paraID>
      <start>53</start>
      <end>56</end>
      <status>unmodified</status>
      <modifiedWord/>
      <trackRevisions>false</trackRevisions>
    </reviewItem>
    <reviewItem>
      <errorID>8fc8a0c0-adc0-492a-a809-178b7c47307f</errorID>
      <errorWord>140m2</errorWord>
      <group>L1_Word</group>
      <groupName>字词问题</groupName>
      <ability>L2_Typo</ability>
      <abilityName>字词错误</abilityName>
      <candidateList>
        <item>140m²</item>
      </candidateList>
      <explain/>
      <paraID> 4ABD513</paraID>
      <start>57</start>
      <end>62</end>
      <status>unmodified</status>
      <modifiedWord/>
      <trackRevisions>false</trackRevisions>
    </reviewItem>
    <reviewItem>
      <errorID>ac794709-0e7a-4b6b-912e-c6c7222f5ed1</errorID>
      <errorWord>0m2</errorWord>
      <group>L1_Word</group>
      <groupName>字词问题</groupName>
      <ability>L2_Typo</ability>
      <abilityName>字词错误</abilityName>
      <candidateList>
        <item>0m²</item>
      </candidateList>
      <explain/>
      <paraID> 4ABD513</paraID>
      <start>74</start>
      <end>77</end>
      <status>unmodified</status>
      <modifiedWord/>
      <trackRevisions>false</trackRevisions>
    </reviewItem>
    <reviewItem>
      <errorID>ae1abe0c-a709-43c6-b118-8e2e3fbb948b</errorID>
      <errorWord>0m2</errorWord>
      <group>L1_Word</group>
      <groupName>字词问题</groupName>
      <ability>L2_Typo</ability>
      <abilityName>字词错误</abilityName>
      <candidateList>
        <item>0m²</item>
      </candidateList>
      <explain/>
      <paraID>1D34C622</paraID>
      <start>114</start>
      <end>117</end>
      <status>unmodified</status>
      <modifiedWord/>
      <trackRevisions>false</trackRevisions>
    </reviewItem>
    <reviewItem>
      <errorID>ad26816e-93a3-41af-ac28-d1c83e0b3c14</errorID>
      <errorWord>降碳节能</errorWord>
      <group>L1_Political</group>
      <groupName>政治性问题</groupName>
      <ability>L2_Unpolitical</ability>
      <abilityName>政治敏感错误</abilityName>
      <candidateList>
        <item>节能降碳</item>
      </candidateList>
      <explain/>
      <paraID> 8E7E6F5</paraID>
      <start>2</start>
      <end>6</end>
      <status>unmodified</status>
      <modifiedWord/>
      <trackRevisions>false</trackRevisions>
    </reviewItem>
    <reviewItem>
      <errorID>d653c972-cf04-4648-bb83-9861f21a8074</errorID>
      <errorWord>外</errorWord>
      <group>L1_Word</group>
      <groupName>字词问题</groupName>
      <ability>L2_Typo</ability>
      <abilityName>字词错误</abilityName>
      <candidateList>
        <item> 外</item>
      </candidateList>
      <explain/>
      <paraID>7876A5AF</paraID>
      <start>5</start>
      <end>6</end>
      <status>unmodified</status>
      <modifiedWord/>
      <trackRevisions>false</trackRevisions>
    </reviewItem>
    <reviewItem>
      <errorID>143642fa-8074-4676-b2bd-82e9612ea161</errorID>
      <errorWord>、</errorWord>
      <group>L1_Punc</group>
      <groupName>标点问题</groupName>
      <ability>L2_Punc_CN</ability>
      <abilityName>标点符号问题</abilityName>
      <candidateList>
        <item>，</item>
      </candidateList>
      <explain/>
      <paraID>122AF2B8</paraID>
      <start>25</start>
      <end>26</end>
      <status>unmodified</status>
      <modifiedWord/>
      <trackRevisions>false</trackRevisions>
    </reviewItem>
    <reviewItem>
      <errorID>e93825bc-160d-4de7-8a71-34b0ac7b2a6c</errorID>
      <errorWord>雨天可</errorWord>
      <group>L1_Word</group>
      <groupName>字词问题</groupName>
      <ability>L2_Typo</ability>
      <abilityName>字词错误</abilityName>
      <candidateList>
        <item>雨天</item>
      </candidateList>
      <explain/>
      <paraID>122AF2B8</paraID>
      <start>28</start>
      <end>31</end>
      <status>unmodified</status>
      <modifiedWord/>
      <trackRevisions>false</trackRevisions>
    </reviewItem>
    <reviewItem>
      <errorID>9d7436fe-7eba-4639-839c-a5ae0eda8e38</errorID>
      <errorWord>突发事件</errorWord>
      <group>L1_Word</group>
      <groupName>字词问题</groupName>
      <ability>L2_Typo</ability>
      <abilityName>字词错误</abilityName>
      <candidateList>
        <item> 突发事件</item>
      </candidateList>
      <explain/>
      <paraID>6DB29137</paraID>
      <start>5</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1be04c-7dc5-4b66-a42e-e165c2029331}">
  <ds:schemaRefs/>
</ds:datastoreItem>
</file>

<file path=docProps/app.xml><?xml version="1.0" encoding="utf-8"?>
<Properties xmlns="http://schemas.openxmlformats.org/officeDocument/2006/extended-properties" xmlns:vt="http://schemas.openxmlformats.org/officeDocument/2006/docPropsVTypes">
  <Template>Normal</Template>
  <Pages>32</Pages>
  <Words>7570</Words>
  <Characters>8515</Characters>
  <Lines>107</Lines>
  <Paragraphs>30</Paragraphs>
  <TotalTime>32</TotalTime>
  <ScaleCrop>false</ScaleCrop>
  <LinksUpToDate>false</LinksUpToDate>
  <CharactersWithSpaces>8636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2025-11-22T09:50:00Z</dcterms:created>
  <dc:creator>凉风</dc:creator>
  <cp:lastModifiedBy>玉仔</cp:lastModifiedBy>
  <cp:lastPrinted>2026-06-17T06:12:00Z</cp:lastPrinted>
  <dcterms:modified xsi:type="dcterms:W3CDTF">2026-09-03T03:10:24Z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eyJoZGlkIjoiODQ3ZGE1NTc2Y2QxMjdkODllMjRkMDQyZjMzZjVkNzEiLCJ1c2VySWQiOiI2NDE3MDgwNjcifQ==</vt:lpwstr>
  </property>
  <property fmtid="{D5CDD505-2E9C-101B-9397-08002B2CF9AE}" pid="4" name="ICV">
    <vt:lpwstr>C40B0B8D535841469D488003FC0E6D37_13</vt:lpwstr>
  </property>
</Properties>
</file>