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255C5E">
      <w:pPr>
        <w:jc w:val="center"/>
        <w:rPr>
          <w:rFonts w:ascii="Times New Roman" w:hAnsi="Times New Roman" w:eastAsia="方正小标宋简体" w:cs="Times New Roman"/>
          <w:sz w:val="44"/>
          <w:szCs w:val="44"/>
        </w:rPr>
      </w:pPr>
    </w:p>
    <w:p w14:paraId="463D1D47">
      <w:pPr>
        <w:jc w:val="center"/>
        <w:rPr>
          <w:rFonts w:ascii="Times New Roman" w:hAnsi="Times New Roman" w:eastAsia="方正小标宋简体" w:cs="Times New Roman"/>
          <w:sz w:val="44"/>
          <w:szCs w:val="44"/>
        </w:rPr>
      </w:pPr>
    </w:p>
    <w:p w14:paraId="261CA078">
      <w:pPr>
        <w:jc w:val="center"/>
        <w:rPr>
          <w:rFonts w:ascii="Times New Roman" w:hAnsi="Times New Roman" w:eastAsia="方正小标宋简体" w:cs="Times New Roman"/>
          <w:sz w:val="44"/>
          <w:szCs w:val="44"/>
        </w:rPr>
      </w:pPr>
    </w:p>
    <w:p w14:paraId="14F66344">
      <w:pPr>
        <w:jc w:val="center"/>
        <w:rPr>
          <w:rFonts w:hint="default" w:ascii="Times New Roman" w:hAnsi="Times New Roman" w:eastAsia="方正小标宋简体" w:cs="Times New Roman"/>
          <w:sz w:val="44"/>
          <w:szCs w:val="44"/>
          <w:lang w:val="en-US" w:eastAsia="zh-CN"/>
        </w:rPr>
      </w:pPr>
      <w:r>
        <w:rPr>
          <w:rFonts w:ascii="Times New Roman" w:hAnsi="Times New Roman" w:eastAsia="方正小标宋简体" w:cs="Times New Roman"/>
          <w:sz w:val="44"/>
          <w:szCs w:val="44"/>
        </w:rPr>
        <w:t>阜新市高品质住宅建设技术导则</w:t>
      </w:r>
      <w:r>
        <w:rPr>
          <w:rFonts w:hint="eastAsia" w:ascii="Times New Roman" w:hAnsi="Times New Roman" w:eastAsia="方正小标宋简体" w:cs="Times New Roman"/>
          <w:sz w:val="44"/>
          <w:szCs w:val="44"/>
          <w:lang w:eastAsia="zh-CN"/>
        </w:rPr>
        <w:t>（</w:t>
      </w:r>
      <w:r>
        <w:rPr>
          <w:rFonts w:hint="eastAsia" w:ascii="Times New Roman" w:hAnsi="Times New Roman" w:eastAsia="方正小标宋简体" w:cs="Times New Roman"/>
          <w:sz w:val="44"/>
          <w:szCs w:val="44"/>
          <w:lang w:val="en-US" w:eastAsia="zh-CN"/>
        </w:rPr>
        <w:t>试行）</w:t>
      </w:r>
    </w:p>
    <w:p w14:paraId="31085FDD">
      <w:pPr>
        <w:rPr>
          <w:rFonts w:ascii="Times New Roman" w:hAnsi="Times New Roman" w:cs="Times New Roman"/>
        </w:rPr>
      </w:pPr>
    </w:p>
    <w:p w14:paraId="4C6CE966">
      <w:pPr>
        <w:rPr>
          <w:rFonts w:ascii="Times New Roman" w:hAnsi="Times New Roman" w:cs="Times New Roman"/>
        </w:rPr>
      </w:pPr>
    </w:p>
    <w:p w14:paraId="443770BC">
      <w:pPr>
        <w:rPr>
          <w:rFonts w:ascii="Times New Roman" w:hAnsi="Times New Roman" w:cs="Times New Roman"/>
        </w:rPr>
      </w:pPr>
    </w:p>
    <w:p w14:paraId="258C6BE7">
      <w:pPr>
        <w:rPr>
          <w:rFonts w:ascii="Times New Roman" w:hAnsi="Times New Roman" w:cs="Times New Roman"/>
        </w:rPr>
      </w:pPr>
    </w:p>
    <w:p w14:paraId="1BBC485D">
      <w:pPr>
        <w:rPr>
          <w:rFonts w:ascii="Times New Roman" w:hAnsi="Times New Roman" w:cs="Times New Roman"/>
        </w:rPr>
      </w:pPr>
    </w:p>
    <w:p w14:paraId="2186366F">
      <w:pPr>
        <w:rPr>
          <w:rFonts w:ascii="Times New Roman" w:hAnsi="Times New Roman" w:cs="Times New Roman"/>
        </w:rPr>
      </w:pPr>
    </w:p>
    <w:p w14:paraId="3EED012C">
      <w:pPr>
        <w:rPr>
          <w:rFonts w:ascii="Times New Roman" w:hAnsi="Times New Roman" w:cs="Times New Roman"/>
        </w:rPr>
      </w:pPr>
    </w:p>
    <w:p w14:paraId="4F3D0BAD">
      <w:pPr>
        <w:rPr>
          <w:rFonts w:ascii="Times New Roman" w:hAnsi="Times New Roman" w:cs="Times New Roman"/>
        </w:rPr>
      </w:pPr>
    </w:p>
    <w:p w14:paraId="0BDC9B21">
      <w:pPr>
        <w:rPr>
          <w:rFonts w:ascii="Times New Roman" w:hAnsi="Times New Roman" w:cs="Times New Roman"/>
        </w:rPr>
      </w:pPr>
    </w:p>
    <w:p w14:paraId="3880A8FA">
      <w:pPr>
        <w:rPr>
          <w:rFonts w:ascii="Times New Roman" w:hAnsi="Times New Roman" w:cs="Times New Roman"/>
        </w:rPr>
      </w:pPr>
    </w:p>
    <w:p w14:paraId="1109607D">
      <w:pPr>
        <w:rPr>
          <w:rFonts w:ascii="Times New Roman" w:hAnsi="Times New Roman" w:cs="Times New Roman"/>
        </w:rPr>
      </w:pPr>
    </w:p>
    <w:p w14:paraId="5B18F274">
      <w:pPr>
        <w:rPr>
          <w:rFonts w:ascii="Times New Roman" w:hAnsi="Times New Roman" w:cs="Times New Roman"/>
        </w:rPr>
      </w:pPr>
    </w:p>
    <w:p w14:paraId="4E04108A">
      <w:pPr>
        <w:rPr>
          <w:rFonts w:ascii="Times New Roman" w:hAnsi="Times New Roman" w:cs="Times New Roman"/>
        </w:rPr>
      </w:pPr>
    </w:p>
    <w:p w14:paraId="3A693468">
      <w:pPr>
        <w:rPr>
          <w:rFonts w:ascii="Times New Roman" w:hAnsi="Times New Roman" w:cs="Times New Roman"/>
        </w:rPr>
      </w:pPr>
    </w:p>
    <w:p w14:paraId="2CDC3863">
      <w:pPr>
        <w:rPr>
          <w:rFonts w:ascii="Times New Roman" w:hAnsi="Times New Roman" w:cs="Times New Roman"/>
        </w:rPr>
      </w:pPr>
    </w:p>
    <w:p w14:paraId="0A7A3B51">
      <w:pPr>
        <w:rPr>
          <w:rFonts w:ascii="Times New Roman" w:hAnsi="Times New Roman" w:cs="Times New Roman"/>
        </w:rPr>
      </w:pPr>
    </w:p>
    <w:p w14:paraId="2C4A2D24">
      <w:pPr>
        <w:rPr>
          <w:rFonts w:ascii="Times New Roman" w:hAnsi="Times New Roman" w:cs="Times New Roman"/>
        </w:rPr>
      </w:pPr>
    </w:p>
    <w:p w14:paraId="30D101BC">
      <w:pPr>
        <w:rPr>
          <w:rFonts w:ascii="Times New Roman" w:hAnsi="Times New Roman" w:cs="Times New Roman"/>
        </w:rPr>
      </w:pPr>
    </w:p>
    <w:p w14:paraId="01843C7B">
      <w:pPr>
        <w:rPr>
          <w:rFonts w:ascii="Times New Roman" w:hAnsi="Times New Roman" w:cs="Times New Roman"/>
        </w:rPr>
      </w:pPr>
    </w:p>
    <w:p w14:paraId="0E4F706B">
      <w:pPr>
        <w:rPr>
          <w:rFonts w:ascii="Times New Roman" w:hAnsi="Times New Roman" w:cs="Times New Roman"/>
        </w:rPr>
      </w:pPr>
    </w:p>
    <w:p w14:paraId="631DC635">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阜新市住房和城乡建设局</w:t>
      </w:r>
    </w:p>
    <w:p w14:paraId="1F0A99D9">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月</w:t>
      </w:r>
    </w:p>
    <w:p w14:paraId="2E86E75E">
      <w:pPr>
        <w:rPr>
          <w:rFonts w:ascii="Times New Roman" w:hAnsi="Times New Roman" w:cs="Times New Roman"/>
        </w:rPr>
      </w:pPr>
    </w:p>
    <w:p w14:paraId="6EAB5495">
      <w:pPr>
        <w:rPr>
          <w:rFonts w:ascii="Times New Roman" w:hAnsi="Times New Roman" w:cs="Times New Roman"/>
        </w:rPr>
      </w:pPr>
    </w:p>
    <w:p w14:paraId="34B58710">
      <w:pPr>
        <w:rPr>
          <w:rFonts w:ascii="Times New Roman" w:hAnsi="Times New Roman" w:cs="Times New Roman"/>
        </w:rPr>
      </w:pPr>
    </w:p>
    <w:p w14:paraId="79410083">
      <w:pPr>
        <w:rPr>
          <w:rFonts w:ascii="Times New Roman" w:hAnsi="Times New Roman" w:cs="Times New Roman"/>
        </w:rPr>
      </w:pPr>
    </w:p>
    <w:p w14:paraId="5F530C20">
      <w:pPr>
        <w:rPr>
          <w:rFonts w:ascii="Times New Roman" w:hAnsi="Times New Roman" w:cs="Times New Roman"/>
        </w:rPr>
      </w:pPr>
    </w:p>
    <w:p w14:paraId="02949568">
      <w:pPr>
        <w:rPr>
          <w:rFonts w:ascii="Times New Roman" w:hAnsi="Times New Roman" w:cs="Times New Roman"/>
        </w:rPr>
      </w:pPr>
    </w:p>
    <w:p w14:paraId="033ED861">
      <w:pPr>
        <w:rPr>
          <w:rFonts w:ascii="Times New Roman" w:hAnsi="Times New Roman" w:cs="Times New Roman"/>
        </w:rPr>
      </w:pPr>
    </w:p>
    <w:p w14:paraId="3536DB9D">
      <w:pPr>
        <w:rPr>
          <w:rFonts w:ascii="Times New Roman" w:hAnsi="Times New Roman" w:cs="Times New Roman"/>
        </w:rPr>
      </w:pPr>
    </w:p>
    <w:p w14:paraId="746CC03B">
      <w:pPr>
        <w:rPr>
          <w:rFonts w:ascii="Times New Roman" w:hAnsi="Times New Roman" w:cs="Times New Roman"/>
        </w:rPr>
      </w:pPr>
    </w:p>
    <w:p w14:paraId="7939D7D7">
      <w:pPr>
        <w:rPr>
          <w:rFonts w:ascii="Times New Roman" w:hAnsi="Times New Roman" w:cs="Times New Roman"/>
        </w:rPr>
      </w:pPr>
    </w:p>
    <w:p w14:paraId="7DC9B2FF">
      <w:pPr>
        <w:jc w:val="center"/>
        <w:rPr>
          <w:rFonts w:ascii="Times New Roman" w:hAnsi="Times New Roman" w:eastAsia="仿宋_GB2312" w:cs="Times New Roman"/>
          <w:sz w:val="32"/>
          <w:szCs w:val="32"/>
        </w:rPr>
      </w:pPr>
      <w:r>
        <w:rPr>
          <w:rFonts w:hint="eastAsia" w:ascii="Times New Roman" w:hAnsi="Times New Roman" w:eastAsia="黑体" w:cs="Times New Roman"/>
          <w:sz w:val="44"/>
          <w:szCs w:val="44"/>
          <w:lang w:val="en-US" w:eastAsia="zh-CN"/>
        </w:rPr>
        <w:t>前言</w:t>
      </w:r>
    </w:p>
    <w:p w14:paraId="72FB5360">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近年来，住宅建设已进入品质提升的关键阶段，打造安全、舒适、绿色、智慧的“好房子”成为城乡建设高质量发展的重要目标。为落实国家及辽宁省关于建设“好房子”的部署要求，结合阜新市气候特征、地域文化特色及城市更新实际需求，在总结阜新市住宅建设实践经验、梳理群众居住需求痛点和相关技术要求的基础上，编制本《阜新市高品质住宅建设技术导则》。本导则旨在为阜新市新建、改建、扩建高品质住宅的设计、建造、运维提供技术指引，推动住宅建设从“有没有”向“好不好”转变，更好满足人民群众对美好生活的向往。</w:t>
      </w:r>
    </w:p>
    <w:p w14:paraId="293485E0">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本导则主要内容包括：1.总则、2.一般规定、3.安全耐久、4.健康舒适、5.宜居便利、6.绿色低碳、7.智慧便捷、8.</w:t>
      </w:r>
      <w:r>
        <w:rPr>
          <w:rFonts w:hint="eastAsia" w:ascii="Times New Roman" w:hAnsi="Times New Roman" w:eastAsia="仿宋_GB2312" w:cs="Times New Roman"/>
          <w:sz w:val="32"/>
          <w:szCs w:val="32"/>
        </w:rPr>
        <w:t>服务管理</w:t>
      </w:r>
      <w:r>
        <w:rPr>
          <w:rFonts w:ascii="Times New Roman" w:hAnsi="Times New Roman" w:eastAsia="仿宋_GB2312" w:cs="Times New Roman"/>
          <w:sz w:val="32"/>
          <w:szCs w:val="32"/>
        </w:rPr>
        <w:t>。</w:t>
      </w:r>
    </w:p>
    <w:p w14:paraId="797F8FAF">
      <w:pPr>
        <w:rPr>
          <w:rFonts w:ascii="Times New Roman" w:hAnsi="Times New Roman" w:eastAsia="Segoe UI" w:cs="Times New Roman"/>
          <w:color w:val="000000"/>
          <w:kern w:val="0"/>
          <w:sz w:val="24"/>
          <w:shd w:val="clear" w:color="auto" w:fill="FFFFFF"/>
          <w:lang w:bidi="ar"/>
        </w:rPr>
      </w:pPr>
    </w:p>
    <w:p w14:paraId="7BECF93E">
      <w:pPr>
        <w:rPr>
          <w:rFonts w:ascii="Times New Roman" w:hAnsi="Times New Roman" w:eastAsia="Segoe UI" w:cs="Times New Roman"/>
          <w:color w:val="000000"/>
          <w:kern w:val="0"/>
          <w:sz w:val="24"/>
          <w:shd w:val="clear" w:color="auto" w:fill="FFFFFF"/>
          <w:lang w:bidi="ar"/>
        </w:rPr>
      </w:pPr>
    </w:p>
    <w:p w14:paraId="535746C8">
      <w:pPr>
        <w:rPr>
          <w:rFonts w:ascii="Times New Roman" w:hAnsi="Times New Roman" w:eastAsia="Segoe UI" w:cs="Times New Roman"/>
          <w:color w:val="000000"/>
          <w:kern w:val="0"/>
          <w:sz w:val="24"/>
          <w:shd w:val="clear" w:color="auto" w:fill="FFFFFF"/>
          <w:lang w:bidi="ar"/>
        </w:rPr>
      </w:pPr>
    </w:p>
    <w:p w14:paraId="7D5C000F">
      <w:pPr>
        <w:rPr>
          <w:rFonts w:ascii="Times New Roman" w:hAnsi="Times New Roman" w:eastAsia="Segoe UI" w:cs="Times New Roman"/>
          <w:color w:val="000000"/>
          <w:kern w:val="0"/>
          <w:sz w:val="24"/>
          <w:shd w:val="clear" w:color="auto" w:fill="FFFFFF"/>
          <w:lang w:bidi="ar"/>
        </w:rPr>
      </w:pPr>
    </w:p>
    <w:p w14:paraId="44567592">
      <w:pPr>
        <w:rPr>
          <w:rFonts w:ascii="Times New Roman" w:hAnsi="Times New Roman" w:eastAsia="Segoe UI" w:cs="Times New Roman"/>
          <w:color w:val="000000"/>
          <w:kern w:val="0"/>
          <w:sz w:val="24"/>
          <w:shd w:val="clear" w:color="auto" w:fill="FFFFFF"/>
          <w:lang w:bidi="ar"/>
        </w:rPr>
      </w:pPr>
    </w:p>
    <w:p w14:paraId="52C5C982">
      <w:pPr>
        <w:rPr>
          <w:rFonts w:ascii="Times New Roman" w:hAnsi="Times New Roman" w:eastAsia="Segoe UI" w:cs="Times New Roman"/>
          <w:color w:val="000000"/>
          <w:kern w:val="0"/>
          <w:sz w:val="24"/>
          <w:shd w:val="clear" w:color="auto" w:fill="FFFFFF"/>
          <w:lang w:bidi="ar"/>
        </w:rPr>
      </w:pPr>
    </w:p>
    <w:p w14:paraId="5287AC8E">
      <w:pPr>
        <w:rPr>
          <w:rFonts w:ascii="Times New Roman" w:hAnsi="Times New Roman" w:eastAsia="Segoe UI" w:cs="Times New Roman"/>
          <w:color w:val="000000"/>
          <w:kern w:val="0"/>
          <w:sz w:val="24"/>
          <w:shd w:val="clear" w:color="auto" w:fill="FFFFFF"/>
          <w:lang w:bidi="ar"/>
        </w:rPr>
      </w:pPr>
    </w:p>
    <w:p w14:paraId="5A626183">
      <w:pPr>
        <w:rPr>
          <w:rFonts w:ascii="Times New Roman" w:hAnsi="Times New Roman" w:eastAsia="Segoe UI" w:cs="Times New Roman"/>
          <w:color w:val="000000"/>
          <w:kern w:val="0"/>
          <w:sz w:val="24"/>
          <w:shd w:val="clear" w:color="auto" w:fill="FFFFFF"/>
          <w:lang w:bidi="ar"/>
        </w:rPr>
      </w:pPr>
    </w:p>
    <w:p w14:paraId="02AF6B67">
      <w:pPr>
        <w:rPr>
          <w:rFonts w:ascii="Times New Roman" w:hAnsi="Times New Roman" w:eastAsia="Segoe UI" w:cs="Times New Roman"/>
          <w:color w:val="000000"/>
          <w:kern w:val="0"/>
          <w:sz w:val="24"/>
          <w:shd w:val="clear" w:color="auto" w:fill="FFFFFF"/>
          <w:lang w:bidi="ar"/>
        </w:rPr>
      </w:pPr>
    </w:p>
    <w:p w14:paraId="4463A5E9">
      <w:pPr>
        <w:rPr>
          <w:rFonts w:ascii="Times New Roman" w:hAnsi="Times New Roman" w:eastAsia="Segoe UI" w:cs="Times New Roman"/>
          <w:color w:val="000000"/>
          <w:kern w:val="0"/>
          <w:sz w:val="24"/>
          <w:shd w:val="clear" w:color="auto" w:fill="FFFFFF"/>
          <w:lang w:bidi="ar"/>
        </w:rPr>
      </w:pPr>
    </w:p>
    <w:p w14:paraId="0F4F93A6">
      <w:pPr>
        <w:rPr>
          <w:rFonts w:ascii="Times New Roman" w:hAnsi="Times New Roman" w:eastAsia="Segoe UI" w:cs="Times New Roman"/>
          <w:color w:val="000000"/>
          <w:kern w:val="0"/>
          <w:sz w:val="24"/>
          <w:shd w:val="clear" w:color="auto" w:fill="FFFFFF"/>
          <w:lang w:bidi="ar"/>
        </w:rPr>
      </w:pPr>
    </w:p>
    <w:p w14:paraId="6B820A9D">
      <w:pPr>
        <w:rPr>
          <w:rFonts w:ascii="Times New Roman" w:hAnsi="Times New Roman" w:eastAsia="Segoe UI" w:cs="Times New Roman"/>
          <w:color w:val="000000"/>
          <w:kern w:val="0"/>
          <w:sz w:val="24"/>
          <w:shd w:val="clear" w:color="auto" w:fill="FFFFFF"/>
          <w:lang w:bidi="ar"/>
        </w:rPr>
      </w:pPr>
    </w:p>
    <w:p w14:paraId="2E93963C">
      <w:pPr>
        <w:rPr>
          <w:rFonts w:ascii="Times New Roman" w:hAnsi="Times New Roman" w:eastAsia="Segoe UI" w:cs="Times New Roman"/>
          <w:color w:val="000000"/>
          <w:kern w:val="0"/>
          <w:sz w:val="24"/>
          <w:shd w:val="clear" w:color="auto" w:fill="FFFFFF"/>
          <w:lang w:bidi="ar"/>
        </w:rPr>
      </w:pPr>
    </w:p>
    <w:p w14:paraId="5EAE7CE1">
      <w:pPr>
        <w:rPr>
          <w:rFonts w:ascii="Times New Roman" w:hAnsi="Times New Roman" w:eastAsia="Segoe UI" w:cs="Times New Roman"/>
          <w:color w:val="000000"/>
          <w:kern w:val="0"/>
          <w:sz w:val="24"/>
          <w:shd w:val="clear" w:color="auto" w:fill="FFFFFF"/>
          <w:lang w:bidi="ar"/>
        </w:rPr>
      </w:pPr>
    </w:p>
    <w:p w14:paraId="3F3C00F4">
      <w:pPr>
        <w:rPr>
          <w:rFonts w:ascii="Times New Roman" w:hAnsi="Times New Roman" w:eastAsia="Segoe UI" w:cs="Times New Roman"/>
          <w:color w:val="000000"/>
          <w:kern w:val="0"/>
          <w:sz w:val="24"/>
          <w:shd w:val="clear" w:color="auto" w:fill="FFFFFF"/>
          <w:lang w:bidi="ar"/>
        </w:rPr>
      </w:pPr>
    </w:p>
    <w:p w14:paraId="35D3F991">
      <w:pPr>
        <w:jc w:val="center"/>
        <w:rPr>
          <w:rFonts w:ascii="Times New Roman" w:hAnsi="Times New Roman" w:eastAsia="黑体" w:cs="Times New Roman"/>
          <w:color w:val="000000"/>
          <w:kern w:val="0"/>
          <w:sz w:val="44"/>
          <w:szCs w:val="44"/>
          <w:shd w:val="clear" w:color="auto" w:fill="FFFFFF"/>
          <w:lang w:bidi="ar"/>
        </w:rPr>
        <w:sectPr>
          <w:footerReference r:id="rId3" w:type="default"/>
          <w:pgSz w:w="11906" w:h="16838"/>
          <w:pgMar w:top="1440" w:right="1800" w:bottom="1440" w:left="1800" w:header="851" w:footer="992" w:gutter="0"/>
          <w:pgNumType w:fmt="upperRoman" w:start="1"/>
          <w:cols w:space="425" w:num="1"/>
          <w:docGrid w:type="lines" w:linePitch="312" w:charSpace="0"/>
        </w:sectPr>
      </w:pPr>
    </w:p>
    <w:p w14:paraId="7BFE1206">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1 总则</w:t>
      </w:r>
    </w:p>
    <w:p w14:paraId="354B8CB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1.0.1 为提升阜新市住宅建设品质，推动</w:t>
      </w:r>
      <w:r>
        <w:rPr>
          <w:rFonts w:hint="eastAsia" w:ascii="Times New Roman" w:hAnsi="Times New Roman" w:eastAsia="仿宋_GB2312" w:cs="Times New Roman"/>
          <w:color w:val="000000"/>
          <w:kern w:val="0"/>
          <w:sz w:val="32"/>
          <w:szCs w:val="32"/>
          <w:shd w:val="clear" w:color="auto" w:fill="FFFFFF"/>
          <w:lang w:eastAsia="zh-CN" w:bidi="ar"/>
        </w:rPr>
        <w:t>房地产高质量发展</w:t>
      </w:r>
      <w:r>
        <w:rPr>
          <w:rFonts w:ascii="Times New Roman" w:hAnsi="Times New Roman" w:eastAsia="仿宋_GB2312" w:cs="Times New Roman"/>
          <w:color w:val="000000"/>
          <w:kern w:val="0"/>
          <w:sz w:val="32"/>
          <w:szCs w:val="32"/>
          <w:shd w:val="clear" w:color="auto" w:fill="FFFFFF"/>
          <w:lang w:bidi="ar"/>
        </w:rPr>
        <w:t>，建设安全、舒适、绿色、智慧的</w:t>
      </w:r>
      <w:r>
        <w:rPr>
          <w:rFonts w:hint="eastAsia" w:ascii="Times New Roman" w:hAnsi="Times New Roman" w:eastAsia="仿宋_GB2312" w:cs="Times New Roman"/>
          <w:color w:val="000000"/>
          <w:kern w:val="0"/>
          <w:sz w:val="32"/>
          <w:szCs w:val="32"/>
          <w:shd w:val="clear" w:color="auto" w:fill="FFFFFF"/>
          <w:lang w:eastAsia="zh-CN" w:bidi="ar"/>
        </w:rPr>
        <w:t>“</w:t>
      </w:r>
      <w:r>
        <w:rPr>
          <w:rFonts w:ascii="Times New Roman" w:hAnsi="Times New Roman" w:eastAsia="仿宋_GB2312" w:cs="Times New Roman"/>
          <w:color w:val="000000"/>
          <w:kern w:val="0"/>
          <w:sz w:val="32"/>
          <w:szCs w:val="32"/>
          <w:shd w:val="clear" w:color="auto" w:fill="FFFFFF"/>
          <w:lang w:bidi="ar"/>
        </w:rPr>
        <w:t>好房子</w:t>
      </w:r>
      <w:r>
        <w:rPr>
          <w:rFonts w:hint="eastAsia" w:ascii="Times New Roman" w:hAnsi="Times New Roman" w:eastAsia="仿宋_GB2312" w:cs="Times New Roman"/>
          <w:color w:val="000000"/>
          <w:kern w:val="0"/>
          <w:sz w:val="32"/>
          <w:szCs w:val="32"/>
          <w:shd w:val="clear" w:color="auto" w:fill="FFFFFF"/>
          <w:lang w:eastAsia="zh-CN" w:bidi="ar"/>
        </w:rPr>
        <w:t>”</w:t>
      </w:r>
      <w:r>
        <w:rPr>
          <w:rFonts w:ascii="Times New Roman" w:hAnsi="Times New Roman" w:eastAsia="仿宋_GB2312" w:cs="Times New Roman"/>
          <w:color w:val="000000"/>
          <w:kern w:val="0"/>
          <w:sz w:val="32"/>
          <w:szCs w:val="32"/>
          <w:shd w:val="clear" w:color="auto" w:fill="FFFFFF"/>
          <w:lang w:bidi="ar"/>
        </w:rPr>
        <w:t>，满足人民群众美好居住需求，制定本导则。</w:t>
      </w:r>
    </w:p>
    <w:p w14:paraId="464BA47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1.0.2 本导则适用于阜新市行政区域内新建高品质住宅的设计，其他住宅项目可参考执行。</w:t>
      </w:r>
    </w:p>
    <w:p w14:paraId="75065C6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1.0.3 高品质住宅建设应遵循“适用、经济、绿色、美观”的建筑方针，坚持以人为本、因地制宜、可持续发展理念，结合阜新市严寒气候、地域文化和城市发展特点，以安全耐久为基础，以健康舒适为核心，兼顾宜居便利、绿色低碳、智慧便捷以及和谐美好，全面提升住宅综合品质</w:t>
      </w:r>
      <w:r>
        <w:rPr>
          <w:rFonts w:hint="eastAsia" w:ascii="Times New Roman" w:hAnsi="Times New Roman" w:eastAsia="仿宋_GB2312" w:cs="Times New Roman"/>
          <w:color w:val="000000"/>
          <w:kern w:val="0"/>
          <w:sz w:val="32"/>
          <w:szCs w:val="32"/>
          <w:shd w:val="clear" w:color="auto" w:fill="FFFFFF"/>
          <w:lang w:bidi="ar"/>
        </w:rPr>
        <w:t>和服务</w:t>
      </w:r>
      <w:r>
        <w:rPr>
          <w:rFonts w:ascii="Times New Roman" w:hAnsi="Times New Roman" w:eastAsia="仿宋_GB2312" w:cs="Times New Roman"/>
          <w:color w:val="000000"/>
          <w:kern w:val="0"/>
          <w:sz w:val="32"/>
          <w:szCs w:val="32"/>
          <w:shd w:val="clear" w:color="auto" w:fill="FFFFFF"/>
          <w:lang w:bidi="ar"/>
        </w:rPr>
        <w:t>。</w:t>
      </w:r>
    </w:p>
    <w:p w14:paraId="0509F64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1.0.4 高品质住宅建设除符合本导则规定外，尚应符合国家、行业及辽宁省现行有关标准规范的要求。本导则为技术指引，不具有强制性，不作为行政执法依据。</w:t>
      </w:r>
    </w:p>
    <w:p w14:paraId="433FB85A">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2 一般规定</w:t>
      </w:r>
    </w:p>
    <w:p w14:paraId="0CD1280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2.0.1 建设单位应对住宅建设全过程实施品质管控，强化施工管理，鼓励推行工程质量保险和质量评价制度，强化过程质量管控，提供全面质量保障。</w:t>
      </w:r>
    </w:p>
    <w:p w14:paraId="063DEC6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2.0.2 新建住宅工程应符合《住宅项目规范》GB55038，按照不低于《绿色建筑评价标准》GB/T50378绿色建筑二星级标准进行设计和建设。</w:t>
      </w:r>
    </w:p>
    <w:p w14:paraId="12E192E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2.0.3 鼓励新建住宅按照超低能耗建筑、近零能耗建筑、零碳建筑、健康建筑、宁静住宅等标准设计建设，促进“绿色建筑+”融合发展。</w:t>
      </w:r>
    </w:p>
    <w:p w14:paraId="140FC33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2.0.4 鼓励采用智能建造方式和建筑工业化技术，推广绿色建材应用，提升建设效率和工程质量。</w:t>
      </w:r>
    </w:p>
    <w:p w14:paraId="1909431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2.0.5 住宅建筑应结合阜新地域文化特色，采用适宜的建筑风貌，传承辽西地区建筑文化元素，避免千城一面。</w:t>
      </w:r>
    </w:p>
    <w:p w14:paraId="6B4B567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2.0.6 住宅建设的设计、生产、建造、交付、运维等全过程宜采用建筑信息模型（BIM）技术。</w:t>
      </w:r>
    </w:p>
    <w:p w14:paraId="018CFF6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2.0.7 鼓励既有住宅按照外装层、保温隔离层、内装层、周边环境层四个“层级”概念进行改造更新，优化资源利用，提升居住品质。</w:t>
      </w:r>
    </w:p>
    <w:p w14:paraId="2CF79CD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2.0.8 施工图设计文件应编制《住宅工程防水防渗漏及隔声专篇》，明确设计依据、原则以及防水部位、典型构造详图、材料性能、使用年限、管理要求。</w:t>
      </w:r>
    </w:p>
    <w:p w14:paraId="65DED48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2.0.9 本导则指标分为控制项和提升项。控制项为高品质住宅必须满足的基本要求；提升项供建设单位根据项目定位、地域条件、投资规模等因素选择采用，进一步提升住宅品质。</w:t>
      </w:r>
    </w:p>
    <w:p w14:paraId="6D6FDC9A">
      <w:pPr>
        <w:jc w:val="center"/>
        <w:rPr>
          <w:rFonts w:ascii="Times New Roman" w:hAnsi="Times New Roman" w:eastAsia="黑体" w:cs="Times New Roman"/>
          <w:color w:val="000000"/>
          <w:kern w:val="0"/>
          <w:sz w:val="44"/>
          <w:szCs w:val="44"/>
          <w:shd w:val="clear" w:color="auto" w:fill="FFFFFF"/>
          <w:lang w:bidi="ar"/>
        </w:rPr>
      </w:pPr>
    </w:p>
    <w:p w14:paraId="1AA7F3E4">
      <w:pPr>
        <w:jc w:val="center"/>
        <w:rPr>
          <w:rFonts w:ascii="Times New Roman" w:hAnsi="Times New Roman" w:eastAsia="黑体" w:cs="Times New Roman"/>
          <w:color w:val="000000"/>
          <w:kern w:val="0"/>
          <w:sz w:val="44"/>
          <w:szCs w:val="44"/>
          <w:shd w:val="clear" w:color="auto" w:fill="FFFFFF"/>
          <w:lang w:bidi="ar"/>
        </w:rPr>
      </w:pPr>
    </w:p>
    <w:p w14:paraId="148F4483">
      <w:pPr>
        <w:jc w:val="center"/>
        <w:rPr>
          <w:rFonts w:ascii="Times New Roman" w:hAnsi="Times New Roman" w:eastAsia="黑体" w:cs="Times New Roman"/>
          <w:color w:val="000000"/>
          <w:kern w:val="0"/>
          <w:sz w:val="44"/>
          <w:szCs w:val="44"/>
          <w:shd w:val="clear" w:color="auto" w:fill="FFFFFF"/>
          <w:lang w:bidi="ar"/>
        </w:rPr>
      </w:pPr>
    </w:p>
    <w:p w14:paraId="06705015">
      <w:pPr>
        <w:jc w:val="center"/>
        <w:rPr>
          <w:rFonts w:ascii="Times New Roman" w:hAnsi="Times New Roman" w:eastAsia="黑体" w:cs="Times New Roman"/>
          <w:color w:val="000000"/>
          <w:kern w:val="0"/>
          <w:sz w:val="44"/>
          <w:szCs w:val="44"/>
          <w:shd w:val="clear" w:color="auto" w:fill="FFFFFF"/>
          <w:lang w:bidi="ar"/>
        </w:rPr>
      </w:pPr>
    </w:p>
    <w:p w14:paraId="216E413D">
      <w:pPr>
        <w:jc w:val="both"/>
        <w:rPr>
          <w:rFonts w:ascii="Times New Roman" w:hAnsi="Times New Roman" w:eastAsia="黑体" w:cs="Times New Roman"/>
          <w:color w:val="000000"/>
          <w:kern w:val="0"/>
          <w:sz w:val="44"/>
          <w:szCs w:val="44"/>
          <w:shd w:val="clear" w:color="auto" w:fill="FFFFFF"/>
          <w:lang w:bidi="ar"/>
        </w:rPr>
      </w:pPr>
    </w:p>
    <w:p w14:paraId="1D578755">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3 安全耐久</w:t>
      </w:r>
    </w:p>
    <w:p w14:paraId="78D3D557">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3.1 控制项</w:t>
      </w:r>
    </w:p>
    <w:p w14:paraId="304A5AF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3.1.1 建筑主体结构和地基基础应满足承载力、变形、稳定性和建筑使用功能的要求，适应阜新地区冻土环境特点。围护结构应具备安全、耐久及防护性能。</w:t>
      </w:r>
    </w:p>
    <w:p w14:paraId="77C230A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3.1.2 外墙、屋面、门窗等应强化防水抗渗设计：外墙采用高密实度墙体材料及刚性柔性结合防水措施，外墙防水应符合现行行业标准《建筑外墙防水工程技术规程》JGJ/T235的有关规定；外门窗水密性能不低于《建筑幕墙、门窗通用技术条件》GB/T31433规定的3级，气密性等级不低于6级；屋面防水等级达到</w:t>
      </w:r>
      <w:r>
        <w:rPr>
          <w:rFonts w:ascii="Times New Roman" w:hAnsi="Times New Roman" w:eastAsia="仿宋_GB2312" w:cs="Times New Roman"/>
          <w:color w:val="000000"/>
          <w:kern w:val="0"/>
          <w:sz w:val="32"/>
          <w:szCs w:val="32"/>
          <w:shd w:val="clear" w:color="auto" w:fill="FFFFFF"/>
          <w:lang w:eastAsia="zh" w:bidi="ar"/>
        </w:rPr>
        <w:t>《屋面工程防水技术规范》</w:t>
      </w:r>
      <w:r>
        <w:rPr>
          <w:rFonts w:ascii="Times New Roman" w:hAnsi="Times New Roman" w:eastAsia="仿宋_GB2312" w:cs="Times New Roman"/>
          <w:color w:val="000000"/>
          <w:kern w:val="0"/>
          <w:sz w:val="32"/>
          <w:szCs w:val="32"/>
          <w:shd w:val="clear" w:color="auto" w:fill="FFFFFF"/>
          <w:lang w:bidi="ar"/>
        </w:rPr>
        <w:t>GB50345规定的一级。</w:t>
      </w:r>
    </w:p>
    <w:p w14:paraId="789C15C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3.1.3 外遮阳、太阳能设施、空调室外机位等外部设施应与主体结构统一设计施工，具备安装检修条件。</w:t>
      </w:r>
    </w:p>
    <w:p w14:paraId="7E84B87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3.1.4 </w:t>
      </w:r>
      <w:r>
        <w:rPr>
          <w:rFonts w:ascii="Times New Roman" w:hAnsi="Times New Roman" w:eastAsia="仿宋_GB2312" w:cs="Times New Roman"/>
          <w:color w:val="000000"/>
          <w:kern w:val="0"/>
          <w:sz w:val="32"/>
          <w:szCs w:val="32"/>
          <w:shd w:val="clear" w:color="auto" w:fill="FFFFFF"/>
          <w:lang w:eastAsia="zh" w:bidi="ar"/>
        </w:rPr>
        <w:t>建筑内部的非结构构件、设备及附属设施等应连接牢固并能适应主体结构变形。建筑外门窗必须安装牢固，其抗风压性能和水密性能应符合国家现行有关标准的规定。</w:t>
      </w:r>
    </w:p>
    <w:p w14:paraId="5D13327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3.1.5 卫生间、浴室地面和墙面应设置防水层：无淋浴分区的四面墙防水层翻起高度不小于1.50m；有淋浴分区的防水层翻起高度至吊顶以上0.25m，且不小于2.00m，宽度应至淋浴区外扩0.25m以上。其他墙面防水层高度不小于0.30m。</w:t>
      </w:r>
    </w:p>
    <w:p w14:paraId="0243AAC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3.1.6 走廊、疏散通道应满足紧急疏散和应急救护要求，保持畅通；设置清晰的安全防护警示和引导标识系统。</w:t>
      </w:r>
    </w:p>
    <w:p w14:paraId="19345F4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3.1.7 阳台、外窗、窗台等部位应强化安全防护；建筑物出入口应设置防外墙饰面及门窗玻璃脱落的防护措施，结合遮阳挡雨设施统筹设计。同时充分利用场地或景观形成可见地坠物风险的缓冲区、隔离带。</w:t>
      </w:r>
    </w:p>
    <w:p w14:paraId="38B2962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3.1.8 建筑出入口、电梯厅、厨房、卫生间等地面应采取防滑措施，防滑等级不低于《建筑地面工程防滑技术规程》JGJ/T331规定的Bd</w:t>
      </w:r>
      <w:r>
        <w:rPr>
          <w:rFonts w:ascii="Times New Roman" w:hAnsi="Times New Roman" w:eastAsia="宋体" w:cs="Times New Roman"/>
          <w:sz w:val="28"/>
          <w:szCs w:val="28"/>
          <w:lang w:eastAsia="zh"/>
        </w:rPr>
        <w:t>（0.6≤C0F&lt;0.</w:t>
      </w:r>
      <w:r>
        <w:rPr>
          <w:rFonts w:hint="eastAsia" w:ascii="Times New Roman" w:hAnsi="Times New Roman" w:eastAsia="宋体" w:cs="Times New Roman"/>
          <w:sz w:val="28"/>
          <w:szCs w:val="28"/>
          <w:lang w:eastAsia="zh-CN"/>
        </w:rPr>
        <w:t>7）</w:t>
      </w:r>
      <w:r>
        <w:rPr>
          <w:rFonts w:ascii="Times New Roman" w:hAnsi="Times New Roman" w:eastAsia="仿宋_GB2312" w:cs="Times New Roman"/>
          <w:color w:val="000000"/>
          <w:kern w:val="0"/>
          <w:sz w:val="32"/>
          <w:szCs w:val="32"/>
          <w:shd w:val="clear" w:color="auto" w:fill="FFFFFF"/>
          <w:lang w:bidi="ar"/>
        </w:rPr>
        <w:t>Bw</w:t>
      </w:r>
      <w:r>
        <w:rPr>
          <w:rFonts w:ascii="Times New Roman" w:hAnsi="Times New Roman" w:eastAsia="宋体" w:cs="Times New Roman"/>
          <w:sz w:val="28"/>
          <w:szCs w:val="28"/>
          <w:lang w:eastAsia="zh"/>
        </w:rPr>
        <w:t>（60≤BPN&lt;80）</w:t>
      </w:r>
      <w:r>
        <w:rPr>
          <w:rFonts w:ascii="Times New Roman" w:hAnsi="Times New Roman" w:eastAsia="仿宋_GB2312" w:cs="Times New Roman"/>
          <w:color w:val="000000"/>
          <w:kern w:val="0"/>
          <w:sz w:val="32"/>
          <w:szCs w:val="32"/>
          <w:shd w:val="clear" w:color="auto" w:fill="FFFFFF"/>
          <w:lang w:bidi="ar"/>
        </w:rPr>
        <w:t>级；活动场地及坡道、楼梯踏步防滑等级不低于Ad</w:t>
      </w:r>
      <w:r>
        <w:rPr>
          <w:rFonts w:ascii="Times New Roman" w:hAnsi="Times New Roman" w:eastAsia="宋体" w:cs="Times New Roman"/>
          <w:sz w:val="28"/>
          <w:szCs w:val="28"/>
          <w:lang w:eastAsia="zh"/>
        </w:rPr>
        <w:t>（COF≥0.</w:t>
      </w:r>
      <w:r>
        <w:rPr>
          <w:rFonts w:hint="eastAsia" w:ascii="Times New Roman" w:hAnsi="Times New Roman" w:eastAsia="宋体" w:cs="Times New Roman"/>
          <w:sz w:val="28"/>
          <w:szCs w:val="28"/>
          <w:lang w:eastAsia="zh-CN"/>
        </w:rPr>
        <w:t>7）</w:t>
      </w:r>
      <w:r>
        <w:rPr>
          <w:rFonts w:ascii="Times New Roman" w:hAnsi="Times New Roman" w:eastAsia="仿宋_GB2312" w:cs="Times New Roman"/>
          <w:color w:val="000000"/>
          <w:kern w:val="0"/>
          <w:sz w:val="32"/>
          <w:szCs w:val="32"/>
          <w:shd w:val="clear" w:color="auto" w:fill="FFFFFF"/>
          <w:lang w:bidi="ar"/>
        </w:rPr>
        <w:t>Aw</w:t>
      </w:r>
      <w:r>
        <w:rPr>
          <w:rFonts w:ascii="Times New Roman" w:hAnsi="Times New Roman" w:eastAsia="宋体" w:cs="Times New Roman"/>
          <w:sz w:val="28"/>
          <w:szCs w:val="28"/>
          <w:lang w:eastAsia="zh"/>
        </w:rPr>
        <w:t>（BPN≥N80）</w:t>
      </w:r>
      <w:r>
        <w:rPr>
          <w:rFonts w:ascii="Times New Roman" w:hAnsi="Times New Roman" w:eastAsia="仿宋_GB2312" w:cs="Times New Roman"/>
          <w:color w:val="000000"/>
          <w:kern w:val="0"/>
          <w:sz w:val="32"/>
          <w:szCs w:val="32"/>
          <w:shd w:val="clear" w:color="auto" w:fill="FFFFFF"/>
          <w:lang w:bidi="ar"/>
        </w:rPr>
        <w:t>级。</w:t>
      </w:r>
    </w:p>
    <w:p w14:paraId="2727706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3.1.9 </w:t>
      </w:r>
      <w:r>
        <w:rPr>
          <w:rFonts w:ascii="Times New Roman" w:hAnsi="Times New Roman" w:eastAsia="仿宋_GB2312" w:cs="Times New Roman"/>
          <w:color w:val="000000"/>
          <w:kern w:val="0"/>
          <w:sz w:val="32"/>
          <w:szCs w:val="32"/>
          <w:shd w:val="clear" w:color="auto" w:fill="FFFFFF"/>
          <w:lang w:eastAsia="zh" w:bidi="ar"/>
        </w:rPr>
        <w:t>住宅外墙及高于2.0m的景观墙不应采用湿贴石材的施工工艺；住宅公共区域内墙高度超过3.0m时，不应采用湿贴石材或玻化砖的施工工艺，应采用干挂石材或涂料做法。</w:t>
      </w:r>
    </w:p>
    <w:p w14:paraId="2508213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3.1.10 </w:t>
      </w:r>
      <w:r>
        <w:rPr>
          <w:rFonts w:ascii="Times New Roman" w:hAnsi="Times New Roman" w:eastAsia="仿宋_GB2312" w:cs="Times New Roman"/>
          <w:color w:val="000000"/>
          <w:kern w:val="0"/>
          <w:sz w:val="32"/>
          <w:szCs w:val="32"/>
          <w:shd w:val="clear" w:color="auto" w:fill="FFFFFF"/>
          <w:lang w:eastAsia="zh" w:bidi="ar"/>
        </w:rPr>
        <w:t>住宅的</w:t>
      </w:r>
      <w:r>
        <w:rPr>
          <w:rFonts w:ascii="Times New Roman" w:hAnsi="Times New Roman" w:eastAsia="仿宋_GB2312" w:cs="Times New Roman"/>
          <w:color w:val="000000"/>
          <w:kern w:val="0"/>
          <w:sz w:val="32"/>
          <w:szCs w:val="32"/>
          <w:shd w:val="clear" w:color="auto" w:fill="FFFFFF"/>
          <w:lang w:bidi="ar"/>
        </w:rPr>
        <w:t>分散式空调室外机位应紧邻该空调的使用房间，外窗开启扇的大小、开启方向应考虑空调安装的便利</w:t>
      </w:r>
      <w:r>
        <w:rPr>
          <w:rFonts w:ascii="Times New Roman" w:hAnsi="Times New Roman" w:eastAsia="仿宋_GB2312" w:cs="Times New Roman"/>
          <w:color w:val="000000"/>
          <w:kern w:val="0"/>
          <w:sz w:val="32"/>
          <w:szCs w:val="32"/>
          <w:shd w:val="clear" w:color="auto" w:fill="FFFFFF"/>
          <w:lang w:eastAsia="zh" w:bidi="ar"/>
        </w:rPr>
        <w:t>。</w:t>
      </w:r>
      <w:r>
        <w:rPr>
          <w:rFonts w:ascii="Times New Roman" w:hAnsi="Times New Roman" w:eastAsia="仿宋_GB2312" w:cs="Times New Roman"/>
          <w:color w:val="000000"/>
          <w:kern w:val="0"/>
          <w:sz w:val="32"/>
          <w:szCs w:val="32"/>
          <w:shd w:val="clear" w:color="auto" w:fill="FFFFFF"/>
          <w:lang w:bidi="ar"/>
        </w:rPr>
        <w:t>应充分考虑空调室外机的通风条件，确保空调室外机</w:t>
      </w:r>
      <w:r>
        <w:rPr>
          <w:rFonts w:ascii="Times New Roman" w:hAnsi="Times New Roman" w:eastAsia="仿宋_GB2312" w:cs="Times New Roman"/>
          <w:color w:val="000000"/>
          <w:kern w:val="0"/>
          <w:sz w:val="32"/>
          <w:szCs w:val="32"/>
          <w:shd w:val="clear" w:color="auto" w:fill="FFFFFF"/>
          <w:lang w:eastAsia="zh" w:bidi="ar"/>
        </w:rPr>
        <w:t>位</w:t>
      </w:r>
      <w:r>
        <w:rPr>
          <w:rFonts w:ascii="Times New Roman" w:hAnsi="Times New Roman" w:eastAsia="仿宋_GB2312" w:cs="Times New Roman"/>
          <w:color w:val="000000"/>
          <w:kern w:val="0"/>
          <w:sz w:val="32"/>
          <w:szCs w:val="32"/>
          <w:shd w:val="clear" w:color="auto" w:fill="FFFFFF"/>
          <w:lang w:bidi="ar"/>
        </w:rPr>
        <w:t>不被腰线、反坎等构件遮挡</w:t>
      </w:r>
      <w:r>
        <w:rPr>
          <w:rFonts w:ascii="Times New Roman" w:hAnsi="Times New Roman" w:eastAsia="仿宋_GB2312" w:cs="Times New Roman"/>
          <w:color w:val="000000"/>
          <w:kern w:val="0"/>
          <w:sz w:val="32"/>
          <w:szCs w:val="32"/>
          <w:shd w:val="clear" w:color="auto" w:fill="FFFFFF"/>
          <w:lang w:eastAsia="zh" w:bidi="ar"/>
        </w:rPr>
        <w:t>，采用格栅或百叶美化消隐</w:t>
      </w:r>
      <w:r>
        <w:rPr>
          <w:rFonts w:ascii="Times New Roman" w:hAnsi="Times New Roman" w:eastAsia="仿宋_GB2312" w:cs="Times New Roman"/>
          <w:color w:val="000000"/>
          <w:kern w:val="0"/>
          <w:sz w:val="32"/>
          <w:szCs w:val="32"/>
          <w:shd w:val="clear" w:color="auto" w:fill="FFFFFF"/>
          <w:lang w:bidi="ar"/>
        </w:rPr>
        <w:t>。</w:t>
      </w:r>
    </w:p>
    <w:p w14:paraId="2941E4A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3.1.11 燃气管道及设施应设置在户外，引入管处设置紧急自动切断装置，安装燃气设备的空间应配备可燃气体探测器及泄爆窗口，具备声光报警切断燃气阀功能，并且燃具具备熄火保护、防漏气和泄漏应急联动功能。新建住宅建筑方案设计阶段，建设单位应组织建筑设计院与燃气公司详细确定专用检修平台设置方案与相关要求。</w:t>
      </w:r>
    </w:p>
    <w:p w14:paraId="784AE5B3">
      <w:pPr>
        <w:rPr>
          <w:rFonts w:ascii="Times New Roman" w:hAnsi="Times New Roman" w:eastAsia="楷体"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3.1.12 有安全防护要求的部位应采用安全玻璃；开向室外或开向走廊的单元门应采取防夹伤措施。</w:t>
      </w:r>
    </w:p>
    <w:p w14:paraId="37891D7F">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3.2 提升项</w:t>
      </w:r>
    </w:p>
    <w:p w14:paraId="7E1E5D47">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安全性能</w:t>
      </w:r>
    </w:p>
    <w:p w14:paraId="6608D40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3.2.1 采用性能化设计或减隔震设计，提高建筑抗震性能，适应阜新地区抗震设防要求。</w:t>
      </w:r>
    </w:p>
    <w:p w14:paraId="54297E1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3.2.2 入户区域设置更衣、清洁、消杀空间及设备；户内排风排烟管道、空调及新风管道、地漏、排水管道等满足卫生安全要求。</w:t>
      </w:r>
    </w:p>
    <w:p w14:paraId="74A6046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3.2.3 结构设计楼屋面等效均布活荷载、风荷载、雪荷载取值在现行国家标准基础上增加10%，阳台、露台活荷载标准值取3.5kN/m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w:t>
      </w:r>
    </w:p>
    <w:p w14:paraId="57A7FE3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eastAsia="zh" w:bidi="ar"/>
        </w:rPr>
        <w:t>3.2.4</w:t>
      </w:r>
      <w:r>
        <w:rPr>
          <w:rFonts w:ascii="Times New Roman" w:hAnsi="Times New Roman" w:eastAsia="仿宋_GB2312" w:cs="Times New Roman"/>
          <w:color w:val="000000"/>
          <w:kern w:val="0"/>
          <w:sz w:val="32"/>
          <w:szCs w:val="32"/>
          <w:shd w:val="clear" w:color="auto" w:fill="FFFFFF"/>
          <w:lang w:bidi="ar"/>
        </w:rPr>
        <w:t xml:space="preserve"> </w:t>
      </w:r>
      <w:r>
        <w:rPr>
          <w:rFonts w:ascii="Times New Roman" w:hAnsi="Times New Roman" w:eastAsia="仿宋_GB2312" w:cs="Times New Roman"/>
          <w:color w:val="000000"/>
          <w:kern w:val="0"/>
          <w:sz w:val="32"/>
          <w:szCs w:val="32"/>
          <w:shd w:val="clear" w:color="auto" w:fill="FFFFFF"/>
          <w:lang w:eastAsia="zh" w:bidi="ar"/>
        </w:rPr>
        <w:t>混凝土梁中按构造要求配置的纵筋的锚固长度不宜小于纵筋直径的35倍；梁纵筋接头宜错开，并宜避开梁塑性铰</w:t>
      </w:r>
      <w:r>
        <w:rPr>
          <w:rFonts w:ascii="Times New Roman" w:hAnsi="Times New Roman" w:eastAsia="仿宋_GB2312" w:cs="Times New Roman"/>
          <w:color w:val="000000"/>
          <w:kern w:val="0"/>
          <w:sz w:val="32"/>
          <w:szCs w:val="32"/>
          <w:shd w:val="clear" w:color="auto" w:fill="FFFFFF"/>
          <w:lang w:bidi="ar"/>
        </w:rPr>
        <w:t>。</w:t>
      </w:r>
    </w:p>
    <w:p w14:paraId="49361B2D">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耐久性能</w:t>
      </w:r>
    </w:p>
    <w:p w14:paraId="4690BD0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3.2.5 结构设计工作年限不应低于50年，宜按100年进行耐久性设计，混凝土结构按《混凝土结构耐久性设计标准》GB/T50476要求选用材料，钢结构构件采用耐候结构钢，构件表面采用耐候型防腐涂料。</w:t>
      </w:r>
    </w:p>
    <w:p w14:paraId="7B41D75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3.2.6 地下室底板采用平板式筏基及抗浮板的板厚不小于400mm，应采用双层双向配筋，每层每个方向配筋率不小于0.20%；地下室外墙厚度不小于300mm，竖向和水平向分布钢筋应双层布置，直径不小于10mm，间距不大于150mm，单侧水平方向分布钢筋的配筋率不小于0.25。</w:t>
      </w:r>
    </w:p>
    <w:p w14:paraId="17F6847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3.2.7 住宅剪力墙的厚度不应小于200mm，竖向和横向分布钢筋的间距不应大于200mm。</w:t>
      </w:r>
    </w:p>
    <w:p w14:paraId="39EFA8D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3.2.8 建筑活动配件应选用长寿命产品：门反复启闭次数不应少于100000次，窗不应少于15000次；水嘴寿命达到产品标准的1.2倍，阀门达到1.5倍。应选用耐腐蚀、抗老化、耐久性好的管材。</w:t>
      </w:r>
    </w:p>
    <w:p w14:paraId="4823A58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3.2.9 室外装饰装修材料选用自洁功能水性氟涂料或耐候性相当材料，选用耐久性与建筑幕墙设计工作年限相匹配的饰面材料；室内内墙涂料耐酸洗不小于5000次，有釉陶瓷地砖耐磨性不低于4级，无釉耐磨坑体积不大于127mm</w:t>
      </w:r>
      <w:r>
        <w:rPr>
          <w:rFonts w:ascii="Times New Roman" w:hAnsi="Times New Roman" w:eastAsia="仿宋_GB2312" w:cs="Times New Roman"/>
          <w:color w:val="000000"/>
          <w:kern w:val="0"/>
          <w:sz w:val="32"/>
          <w:szCs w:val="32"/>
          <w:shd w:val="clear" w:color="auto" w:fill="FFFFFF"/>
          <w:vertAlign w:val="superscript"/>
          <w:lang w:bidi="ar"/>
        </w:rPr>
        <w:t>3</w:t>
      </w:r>
      <w:r>
        <w:rPr>
          <w:rFonts w:ascii="Times New Roman" w:hAnsi="Times New Roman" w:eastAsia="仿宋_GB2312" w:cs="Times New Roman"/>
          <w:color w:val="000000"/>
          <w:kern w:val="0"/>
          <w:sz w:val="32"/>
          <w:szCs w:val="32"/>
          <w:shd w:val="clear" w:color="auto" w:fill="FFFFFF"/>
          <w:lang w:bidi="ar"/>
        </w:rPr>
        <w:t>。</w:t>
      </w:r>
    </w:p>
    <w:p w14:paraId="5153C57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3.2.10 太阳能热利用系统中的太阳能集热器设计使用寿命应高于</w:t>
      </w:r>
      <w:r>
        <w:rPr>
          <w:rFonts w:ascii="Times New Roman" w:hAnsi="Times New Roman" w:eastAsia="仿宋_GB2312" w:cs="Times New Roman"/>
          <w:color w:val="000000"/>
          <w:kern w:val="0"/>
          <w:sz w:val="32"/>
          <w:szCs w:val="32"/>
          <w:shd w:val="clear" w:color="auto" w:fill="FFFFFF"/>
          <w:lang w:eastAsia="zh" w:bidi="ar"/>
        </w:rPr>
        <w:t>20</w:t>
      </w:r>
      <w:r>
        <w:rPr>
          <w:rFonts w:ascii="Times New Roman" w:hAnsi="Times New Roman" w:eastAsia="仿宋_GB2312" w:cs="Times New Roman"/>
          <w:color w:val="000000"/>
          <w:kern w:val="0"/>
          <w:sz w:val="32"/>
          <w:szCs w:val="32"/>
          <w:shd w:val="clear" w:color="auto" w:fill="FFFFFF"/>
          <w:lang w:bidi="ar"/>
        </w:rPr>
        <w:t>年；太阳能光伏发电系统中的光伏组件设计使用寿命应高于</w:t>
      </w:r>
      <w:r>
        <w:rPr>
          <w:rFonts w:ascii="Times New Roman" w:hAnsi="Times New Roman" w:eastAsia="仿宋_GB2312" w:cs="Times New Roman"/>
          <w:color w:val="000000"/>
          <w:kern w:val="0"/>
          <w:sz w:val="32"/>
          <w:szCs w:val="32"/>
          <w:shd w:val="clear" w:color="auto" w:fill="FFFFFF"/>
          <w:lang w:eastAsia="zh" w:bidi="ar"/>
        </w:rPr>
        <w:t>30</w:t>
      </w:r>
      <w:r>
        <w:rPr>
          <w:rFonts w:ascii="Times New Roman" w:hAnsi="Times New Roman" w:eastAsia="仿宋_GB2312" w:cs="Times New Roman"/>
          <w:color w:val="000000"/>
          <w:kern w:val="0"/>
          <w:sz w:val="32"/>
          <w:szCs w:val="32"/>
          <w:shd w:val="clear" w:color="auto" w:fill="FFFFFF"/>
          <w:lang w:bidi="ar"/>
        </w:rPr>
        <w:t>年。</w:t>
      </w:r>
    </w:p>
    <w:p w14:paraId="074BA8BB">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4 健康舒适</w:t>
      </w:r>
    </w:p>
    <w:p w14:paraId="743BC37D">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4.1 控制项</w:t>
      </w:r>
    </w:p>
    <w:p w14:paraId="13D8B29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4.1.1 小区地面通风采光井、人防楼梯间、垃圾房、配电房等附属建筑物应采取美化处理措施。</w:t>
      </w:r>
    </w:p>
    <w:p w14:paraId="2941652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4.1.2 小区临近交通干道时，应通过建筑布局、坡地绿化或隔声设施等降低噪声影响，符合现行国家标准《声环境质量标准》GB3096的要求，同时符合下列规定。</w:t>
      </w:r>
    </w:p>
    <w:p w14:paraId="21C8145F">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1.建筑的体形、朝向和平面布置应有利于噪声控制。卧室、起居室布置在远离噪声源一侧；</w:t>
      </w:r>
    </w:p>
    <w:p w14:paraId="7CD5796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2.住宅户内排水管应采用低噪声管材或包覆隔声材料等隔声措施；</w:t>
      </w:r>
    </w:p>
    <w:p w14:paraId="3BDF5D0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3.公共电梯井道不应相邻起居室、卧室，与住宅户内其他房间（空间）相邻时，电梯井壁、电梯设备、电梯机房均应采取有效的隔声减振措施；</w:t>
      </w:r>
    </w:p>
    <w:p w14:paraId="54F870A3">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4.应对建筑结构楼板进行舒适度设计，舒适度设计应符合《建筑楼盖结构振动舒适度技术标准》JGJ/T441的规定；</w:t>
      </w:r>
    </w:p>
    <w:p w14:paraId="74119FD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5.除厨房、卫生间外的住宅楼板厚度不应小于120mm；分户楼板两侧房间之间的计权标准化声压级差与粉红噪声频谱修正量之和（DnT,w+Ctr）不应小于50dB；分户楼板计权标准化撞击声压级L'nT,w不应大于60dB；</w:t>
      </w:r>
    </w:p>
    <w:p w14:paraId="3DDBDF5F">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6.分户墙应采用不小于200mm厚混凝土墙体或200mm的实心砖墙体（或其他能达到50dB以上隔声效果的构造措施），分户墙两侧房间之间的计权标准化声压级差与粉红噪声频谱修正量之和（DnT,w+Ctr）不应小于50dB；</w:t>
      </w:r>
    </w:p>
    <w:p w14:paraId="5C1CE106">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分户墙两侧同一位置的设备位置应错开，安装时不应直接穿透墙体；嵌入分户墙内的电气插座、开关、配电箱等当背对背设置时应相互错开布置。所有开洞、槽应采取隔声封堵措施。当设备管线穿过其他楼板和墙体时，孔洞应采取密封隔声措施。</w:t>
      </w:r>
    </w:p>
    <w:p w14:paraId="73E455C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4.1.3 应对室内氨、挥发性有机物、PM</w:t>
      </w:r>
      <w:r>
        <w:rPr>
          <w:rFonts w:ascii="Times New Roman" w:hAnsi="Times New Roman" w:eastAsia="仿宋_GB2312" w:cs="Times New Roman"/>
          <w:color w:val="000000"/>
          <w:kern w:val="0"/>
          <w:sz w:val="32"/>
          <w:szCs w:val="32"/>
          <w:shd w:val="clear" w:color="auto" w:fill="FFFFFF"/>
          <w:vertAlign w:val="subscript"/>
          <w:lang w:bidi="ar"/>
        </w:rPr>
        <w:t>2.5</w:t>
      </w:r>
      <w:r>
        <w:rPr>
          <w:rFonts w:ascii="Times New Roman" w:hAnsi="Times New Roman" w:eastAsia="仿宋_GB2312" w:cs="Times New Roman"/>
          <w:color w:val="000000"/>
          <w:kern w:val="0"/>
          <w:sz w:val="32"/>
          <w:szCs w:val="32"/>
          <w:shd w:val="clear" w:color="auto" w:fill="FFFFFF"/>
          <w:lang w:bidi="ar"/>
        </w:rPr>
        <w:t>等污染物浓度进行预评估，较</w:t>
      </w:r>
      <w:r>
        <w:rPr>
          <w:rFonts w:ascii="Times New Roman" w:hAnsi="Times New Roman" w:eastAsia="仿宋_GB2312" w:cs="Times New Roman"/>
          <w:color w:val="000000"/>
          <w:kern w:val="0"/>
          <w:sz w:val="32"/>
          <w:szCs w:val="32"/>
          <w:shd w:val="clear" w:color="auto" w:fill="FFFFFF"/>
          <w:lang w:eastAsia="zh" w:bidi="ar"/>
        </w:rPr>
        <w:t>《室内空气质量标准》</w:t>
      </w:r>
      <w:r>
        <w:rPr>
          <w:rFonts w:ascii="Times New Roman" w:hAnsi="Times New Roman" w:eastAsia="仿宋_GB2312" w:cs="Times New Roman"/>
          <w:color w:val="000000"/>
          <w:kern w:val="0"/>
          <w:sz w:val="32"/>
          <w:szCs w:val="32"/>
          <w:shd w:val="clear" w:color="auto" w:fill="FFFFFF"/>
          <w:lang w:bidi="ar"/>
        </w:rPr>
        <w:t>GB/T18883规定值降低20%，且符合</w:t>
      </w:r>
      <w:r>
        <w:rPr>
          <w:rFonts w:ascii="Times New Roman" w:hAnsi="Times New Roman" w:eastAsia="仿宋_GB2312" w:cs="Times New Roman"/>
          <w:color w:val="000000"/>
          <w:kern w:val="0"/>
          <w:sz w:val="32"/>
          <w:szCs w:val="32"/>
          <w:shd w:val="clear" w:color="auto" w:fill="FFFFFF"/>
          <w:lang w:eastAsia="zh" w:bidi="ar"/>
        </w:rPr>
        <w:t>《建筑环境通用规范》</w:t>
      </w:r>
      <w:r>
        <w:rPr>
          <w:rFonts w:ascii="Times New Roman" w:hAnsi="Times New Roman" w:eastAsia="仿宋_GB2312" w:cs="Times New Roman"/>
          <w:color w:val="000000"/>
          <w:kern w:val="0"/>
          <w:sz w:val="32"/>
          <w:szCs w:val="32"/>
          <w:shd w:val="clear" w:color="auto" w:fill="FFFFFF"/>
          <w:lang w:bidi="ar"/>
        </w:rPr>
        <w:t>GB55016要求。</w:t>
      </w:r>
    </w:p>
    <w:p w14:paraId="72526DE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4.1.4 建筑出入口、可开启窗户等周围10m范围内禁止吸烟，在住宅建筑入口、电梯等公共空间设置明显禁烟标识。</w:t>
      </w:r>
    </w:p>
    <w:p w14:paraId="4BF84B0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4.1.5 厨房、卫生间采取防止串烟串味措施，设置机械排风系统，连接主排风管或排风竖井的排风支管设置止回阀，排风竖井顶部应设置防止室外风倒灌的措施；卫生间地漏应具备防返溢、防异味功能，洗衣机专用地漏应具备防反溢、防干涸功能。</w:t>
      </w:r>
    </w:p>
    <w:p w14:paraId="0CD913C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4.1.6 </w:t>
      </w:r>
      <w:r>
        <w:rPr>
          <w:rFonts w:ascii="Times New Roman" w:hAnsi="Times New Roman" w:eastAsia="仿宋_GB2312" w:cs="Times New Roman"/>
          <w:color w:val="000000"/>
          <w:kern w:val="0"/>
          <w:sz w:val="32"/>
          <w:szCs w:val="32"/>
          <w:shd w:val="clear" w:color="auto" w:fill="FFFFFF"/>
          <w:lang w:eastAsia="zh" w:bidi="ar"/>
        </w:rPr>
        <w:t>地下车库不满足自然通风要求时，应</w:t>
      </w:r>
      <w:r>
        <w:rPr>
          <w:rFonts w:ascii="Times New Roman" w:hAnsi="Times New Roman" w:eastAsia="仿宋_GB2312" w:cs="Times New Roman"/>
          <w:color w:val="000000"/>
          <w:kern w:val="0"/>
          <w:sz w:val="32"/>
          <w:szCs w:val="32"/>
          <w:shd w:val="clear" w:color="auto" w:fill="FFFFFF"/>
          <w:lang w:bidi="ar"/>
        </w:rPr>
        <w:t>设置与排风设备联动的CO浓度监测装置，当CO浓度超过30～40</w:t>
      </w:r>
      <w:r>
        <w:rPr>
          <w:rFonts w:ascii="Times New Roman" w:hAnsi="Times New Roman" w:eastAsia="仿宋_GB2312" w:cs="Times New Roman"/>
          <w:color w:val="000000"/>
          <w:kern w:val="0"/>
          <w:sz w:val="32"/>
          <w:szCs w:val="32"/>
          <w:shd w:val="clear" w:color="auto" w:fill="FFFFFF"/>
          <w:lang w:eastAsia="zh" w:bidi="ar"/>
        </w:rPr>
        <w:t>ppm</w:t>
      </w:r>
      <w:r>
        <w:rPr>
          <w:rFonts w:ascii="Times New Roman" w:hAnsi="Times New Roman" w:eastAsia="仿宋_GB2312" w:cs="Times New Roman"/>
          <w:color w:val="000000"/>
          <w:kern w:val="0"/>
          <w:sz w:val="32"/>
          <w:szCs w:val="32"/>
          <w:shd w:val="clear" w:color="auto" w:fill="FFFFFF"/>
          <w:lang w:bidi="ar"/>
        </w:rPr>
        <w:t>时，排风设备能自动启动</w:t>
      </w:r>
      <w:r>
        <w:rPr>
          <w:rFonts w:ascii="Times New Roman" w:hAnsi="Times New Roman" w:eastAsia="仿宋_GB2312" w:cs="Times New Roman"/>
          <w:color w:val="000000"/>
          <w:kern w:val="0"/>
          <w:sz w:val="32"/>
          <w:szCs w:val="32"/>
          <w:shd w:val="clear" w:color="auto" w:fill="FFFFFF"/>
          <w:lang w:eastAsia="zh" w:bidi="ar"/>
        </w:rPr>
        <w:t>，</w:t>
      </w:r>
      <w:r>
        <w:rPr>
          <w:rFonts w:ascii="Times New Roman" w:hAnsi="Times New Roman" w:eastAsia="仿宋_GB2312" w:cs="Times New Roman"/>
          <w:color w:val="000000"/>
          <w:kern w:val="0"/>
          <w:sz w:val="32"/>
          <w:szCs w:val="32"/>
          <w:shd w:val="clear" w:color="auto" w:fill="FFFFFF"/>
          <w:lang w:bidi="ar"/>
        </w:rPr>
        <w:t>CO监测</w:t>
      </w:r>
      <w:r>
        <w:rPr>
          <w:rFonts w:ascii="Times New Roman" w:hAnsi="Times New Roman" w:eastAsia="仿宋_GB2312" w:cs="Times New Roman"/>
          <w:color w:val="000000"/>
          <w:kern w:val="0"/>
          <w:sz w:val="32"/>
          <w:szCs w:val="32"/>
          <w:shd w:val="clear" w:color="auto" w:fill="FFFFFF"/>
          <w:lang w:eastAsia="zh" w:bidi="ar"/>
        </w:rPr>
        <w:t>装置应保证每个防火分区至少1个，当单个防火分区面积较大时，应该保证每300～400m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eastAsia="zh" w:bidi="ar"/>
        </w:rPr>
        <w:t>布置1个。</w:t>
      </w:r>
    </w:p>
    <w:p w14:paraId="3BD72F0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4.1.7 生活饮用水水质符合《生活饮用水卫生标准》GB5749要求，直饮水符合《饮用净水水质标准》CJ94要求；小区设置水质在线监测系统，监测结果可通过户内信息化系统或小区信息屏显示。</w:t>
      </w:r>
    </w:p>
    <w:p w14:paraId="768D667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4.1.8 卫生间采用同层排水技术；</w:t>
      </w:r>
    </w:p>
    <w:p w14:paraId="781FB70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4.1.9 卧室、起居室等主要房间直接采光，窗地面积比不低于1/7。</w:t>
      </w:r>
    </w:p>
    <w:p w14:paraId="69C9B10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4.1.10 </w:t>
      </w:r>
      <w:r>
        <w:rPr>
          <w:rFonts w:ascii="Times New Roman" w:hAnsi="Times New Roman" w:eastAsia="仿宋_GB2312" w:cs="Times New Roman"/>
          <w:color w:val="000000"/>
          <w:kern w:val="0"/>
          <w:sz w:val="32"/>
          <w:szCs w:val="32"/>
          <w:shd w:val="clear" w:color="auto" w:fill="FFFFFF"/>
          <w:lang w:eastAsia="zh" w:bidi="ar"/>
        </w:rPr>
        <w:t>建筑照明应符合下列规定</w:t>
      </w:r>
      <w:r>
        <w:rPr>
          <w:rFonts w:ascii="Times New Roman" w:hAnsi="Times New Roman" w:eastAsia="仿宋_GB2312" w:cs="Times New Roman"/>
          <w:color w:val="000000"/>
          <w:kern w:val="0"/>
          <w:sz w:val="32"/>
          <w:szCs w:val="32"/>
          <w:shd w:val="clear" w:color="auto" w:fill="FFFFFF"/>
          <w:lang w:bidi="ar"/>
        </w:rPr>
        <w:t>：</w:t>
      </w:r>
    </w:p>
    <w:p w14:paraId="62F00E6D">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1 </w:t>
      </w:r>
      <w:r>
        <w:rPr>
          <w:rFonts w:ascii="Times New Roman" w:hAnsi="Times New Roman" w:eastAsia="仿宋_GB2312" w:cs="Times New Roman"/>
          <w:color w:val="000000"/>
          <w:kern w:val="0"/>
          <w:sz w:val="32"/>
          <w:szCs w:val="32"/>
          <w:shd w:val="clear" w:color="auto" w:fill="FFFFFF"/>
          <w:lang w:eastAsia="zh" w:bidi="ar"/>
        </w:rPr>
        <w:t>各场所的照度、照度均匀度、显色指数、统一眩光值应符合现行国家标准《建筑照明设计标准》GB/T50034的规定</w:t>
      </w:r>
      <w:r>
        <w:rPr>
          <w:rFonts w:ascii="Times New Roman" w:hAnsi="Times New Roman" w:eastAsia="仿宋_GB2312" w:cs="Times New Roman"/>
          <w:color w:val="000000"/>
          <w:kern w:val="0"/>
          <w:sz w:val="32"/>
          <w:szCs w:val="32"/>
          <w:shd w:val="clear" w:color="auto" w:fill="FFFFFF"/>
          <w:lang w:bidi="ar"/>
        </w:rPr>
        <w:t>；</w:t>
      </w:r>
    </w:p>
    <w:p w14:paraId="1ACB379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2 </w:t>
      </w:r>
      <w:r>
        <w:rPr>
          <w:rFonts w:ascii="Times New Roman" w:hAnsi="Times New Roman" w:eastAsia="仿宋_GB2312" w:cs="Times New Roman"/>
          <w:color w:val="000000"/>
          <w:kern w:val="0"/>
          <w:sz w:val="32"/>
          <w:szCs w:val="32"/>
          <w:shd w:val="clear" w:color="auto" w:fill="FFFFFF"/>
          <w:lang w:eastAsia="zh" w:bidi="ar"/>
        </w:rPr>
        <w:t>人员长期停留的房间或场所采用的照明光源和灯具，其频闪效应可视度（SVM）不应大于</w:t>
      </w:r>
      <w:r>
        <w:rPr>
          <w:rFonts w:ascii="Times New Roman" w:hAnsi="Times New Roman" w:eastAsia="仿宋_GB2312" w:cs="Times New Roman"/>
          <w:color w:val="000000"/>
          <w:kern w:val="0"/>
          <w:sz w:val="32"/>
          <w:szCs w:val="32"/>
          <w:shd w:val="clear" w:color="auto" w:fill="FFFFFF"/>
          <w:lang w:bidi="ar"/>
        </w:rPr>
        <w:t>1.3</w:t>
      </w:r>
      <w:r>
        <w:rPr>
          <w:rFonts w:ascii="Times New Roman" w:hAnsi="Times New Roman" w:eastAsia="仿宋_GB2312" w:cs="Times New Roman"/>
          <w:color w:val="000000"/>
          <w:kern w:val="0"/>
          <w:sz w:val="32"/>
          <w:szCs w:val="32"/>
          <w:shd w:val="clear" w:color="auto" w:fill="FFFFFF"/>
          <w:lang w:eastAsia="zh" w:bidi="ar"/>
        </w:rPr>
        <w:t>；</w:t>
      </w:r>
    </w:p>
    <w:p w14:paraId="1B42D07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eastAsia="zh" w:bidi="ar"/>
        </w:rPr>
        <w:t>3 公共区域的照明系统应采用分区、定时、感应等节能控制；采光区域的照明控制应独立于其他区域的照明控制。</w:t>
      </w:r>
    </w:p>
    <w:p w14:paraId="6195AFD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4.1.11 卧室、起居室供暖室内设计温度不低于20℃，有淋浴器的卫生间沐浴时室温不低于25℃；户内预留双向新风换气系统安装条件；主要功能房间应具有独立控制的热环境调节措施。</w:t>
      </w:r>
    </w:p>
    <w:p w14:paraId="4163370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w:t>
      </w:r>
      <w:r>
        <w:rPr>
          <w:rFonts w:ascii="Times New Roman" w:hAnsi="Times New Roman" w:eastAsia="仿宋_GB2312" w:cs="Times New Roman"/>
          <w:color w:val="000000"/>
          <w:kern w:val="0"/>
          <w:sz w:val="32"/>
          <w:szCs w:val="32"/>
          <w:shd w:val="clear" w:color="auto" w:fill="FFFFFF"/>
          <w:lang w:eastAsia="zh" w:bidi="ar"/>
        </w:rPr>
        <w:t xml:space="preserve">.1.12 </w:t>
      </w:r>
      <w:r>
        <w:rPr>
          <w:rFonts w:ascii="Times New Roman" w:hAnsi="Times New Roman" w:eastAsia="仿宋_GB2312" w:cs="Times New Roman"/>
          <w:color w:val="000000"/>
          <w:kern w:val="0"/>
          <w:sz w:val="32"/>
          <w:szCs w:val="32"/>
          <w:shd w:val="clear" w:color="auto" w:fill="FFFFFF"/>
          <w:lang w:bidi="ar"/>
        </w:rPr>
        <w:t>围护结构热工性能应符合下列规定：</w:t>
      </w:r>
    </w:p>
    <w:p w14:paraId="072229DB">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1 </w:t>
      </w:r>
      <w:r>
        <w:rPr>
          <w:rFonts w:ascii="Times New Roman" w:hAnsi="Times New Roman" w:eastAsia="仿宋_GB2312" w:cs="Times New Roman"/>
          <w:color w:val="000000"/>
          <w:kern w:val="0"/>
          <w:sz w:val="32"/>
          <w:szCs w:val="32"/>
          <w:shd w:val="clear" w:color="auto" w:fill="FFFFFF"/>
          <w:lang w:eastAsia="zh" w:bidi="ar"/>
        </w:rPr>
        <w:t>在室内设计温湿度条件下，建筑非透光</w:t>
      </w:r>
      <w:r>
        <w:rPr>
          <w:rFonts w:ascii="Times New Roman" w:hAnsi="Times New Roman" w:eastAsia="仿宋_GB2312" w:cs="Times New Roman"/>
          <w:color w:val="000000"/>
          <w:kern w:val="0"/>
          <w:sz w:val="32"/>
          <w:szCs w:val="32"/>
          <w:shd w:val="clear" w:color="auto" w:fill="FFFFFF"/>
          <w:lang w:bidi="ar"/>
        </w:rPr>
        <w:t>围</w:t>
      </w:r>
      <w:r>
        <w:rPr>
          <w:rFonts w:ascii="Times New Roman" w:hAnsi="Times New Roman" w:eastAsia="仿宋_GB2312" w:cs="Times New Roman"/>
          <w:color w:val="000000"/>
          <w:kern w:val="0"/>
          <w:sz w:val="32"/>
          <w:szCs w:val="32"/>
          <w:shd w:val="clear" w:color="auto" w:fill="FFFFFF"/>
          <w:lang w:eastAsia="zh" w:bidi="ar"/>
        </w:rPr>
        <w:t>护结构内表面不得结露</w:t>
      </w:r>
      <w:r>
        <w:rPr>
          <w:rFonts w:ascii="Times New Roman" w:hAnsi="Times New Roman" w:eastAsia="仿宋_GB2312" w:cs="Times New Roman"/>
          <w:color w:val="000000"/>
          <w:kern w:val="0"/>
          <w:sz w:val="32"/>
          <w:szCs w:val="32"/>
          <w:shd w:val="clear" w:color="auto" w:fill="FFFFFF"/>
          <w:lang w:bidi="ar"/>
        </w:rPr>
        <w:t>；</w:t>
      </w:r>
    </w:p>
    <w:p w14:paraId="049E3B70">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2 </w:t>
      </w:r>
      <w:r>
        <w:rPr>
          <w:rFonts w:ascii="Times New Roman" w:hAnsi="Times New Roman" w:eastAsia="仿宋_GB2312" w:cs="Times New Roman"/>
          <w:color w:val="000000"/>
          <w:kern w:val="0"/>
          <w:sz w:val="32"/>
          <w:szCs w:val="32"/>
          <w:shd w:val="clear" w:color="auto" w:fill="FFFFFF"/>
          <w:lang w:eastAsia="zh" w:bidi="ar"/>
        </w:rPr>
        <w:t>供暖建筑的屋面、外墙内部不应产生冷凝</w:t>
      </w:r>
      <w:r>
        <w:rPr>
          <w:rFonts w:ascii="Times New Roman" w:hAnsi="Times New Roman" w:eastAsia="仿宋_GB2312" w:cs="Times New Roman"/>
          <w:color w:val="000000"/>
          <w:kern w:val="0"/>
          <w:sz w:val="32"/>
          <w:szCs w:val="32"/>
          <w:shd w:val="clear" w:color="auto" w:fill="FFFFFF"/>
          <w:lang w:bidi="ar"/>
        </w:rPr>
        <w:t>。</w:t>
      </w:r>
    </w:p>
    <w:p w14:paraId="3401009D">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4.2 提升项</w:t>
      </w:r>
    </w:p>
    <w:p w14:paraId="5424E8DA">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生态健康</w:t>
      </w:r>
    </w:p>
    <w:p w14:paraId="33607CA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 小区植物采用乔、灌、草多层级搭配，注重季相变化，结合建筑立面配置垂直绿化、屋顶绿化等立体绿化系统，地面停车区域采用树阵或棚架布置绿化停车场，边角地、闲置地宜改造建设口袋公园。</w:t>
      </w:r>
    </w:p>
    <w:p w14:paraId="501EB7A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4.2.2 利用地形地貌优化建筑布局，冬季增加日照、降低冷风影响，夏季促进自然通风，缓解热岛效应。</w:t>
      </w:r>
    </w:p>
    <w:p w14:paraId="18544A4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4.2.3 室外检查井不应设置在主要人行、车行通道上，应设置在靠近道路绿地内，若需设置在通道上应采用装饰性井盖；地下市政管线不应穿越私人庭院。</w:t>
      </w:r>
    </w:p>
    <w:p w14:paraId="6725C75F">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环境安静</w:t>
      </w:r>
    </w:p>
    <w:p w14:paraId="503EE86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4.2.4 建筑主要功能房间的噪声级限值应符合以下要求：起居室昼间噪声级不大于35dB（A），卧室昼间不大于40dB（A）、夜间不大于30dB（A）。</w:t>
      </w:r>
    </w:p>
    <w:p w14:paraId="6749C2D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4.2.5 除厨房、卫生间外的住宅楼板采用空心叠合板，厚度不小于180mm，撞击声隔声性能</w:t>
      </w:r>
      <w:r>
        <w:rPr>
          <w:rFonts w:ascii="Times New Roman" w:hAnsi="Times New Roman" w:eastAsia="仿宋_GB2312" w:cs="Times New Roman"/>
          <w:color w:val="000000"/>
          <w:kern w:val="0"/>
          <w:sz w:val="32"/>
          <w:szCs w:val="32"/>
          <w:shd w:val="clear" w:color="auto" w:fill="FFFFFF"/>
          <w:lang w:eastAsia="zh" w:bidi="ar"/>
        </w:rPr>
        <w:t>（计权标准化撞击声压级</w:t>
      </w:r>
      <w:r>
        <w:rPr>
          <w:rFonts w:ascii="Times New Roman" w:hAnsi="Times New Roman" w:eastAsia="仿宋_GB2312" w:cs="Times New Roman"/>
          <w:color w:val="000000"/>
          <w:kern w:val="0"/>
          <w:sz w:val="32"/>
          <w:szCs w:val="32"/>
          <w:shd w:val="clear" w:color="auto" w:fill="FFFFFF"/>
          <w:lang w:bidi="ar"/>
        </w:rPr>
        <w:t>L'nT,w</w:t>
      </w:r>
      <w:r>
        <w:rPr>
          <w:rFonts w:ascii="Times New Roman" w:hAnsi="Times New Roman" w:eastAsia="仿宋_GB2312" w:cs="Times New Roman"/>
          <w:color w:val="000000"/>
          <w:kern w:val="0"/>
          <w:sz w:val="32"/>
          <w:szCs w:val="32"/>
          <w:shd w:val="clear" w:color="auto" w:fill="FFFFFF"/>
          <w:lang w:eastAsia="zh" w:bidi="ar"/>
        </w:rPr>
        <w:t>）≤55dB</w:t>
      </w:r>
      <w:r>
        <w:rPr>
          <w:rFonts w:ascii="Times New Roman" w:hAnsi="Times New Roman" w:eastAsia="仿宋_GB2312" w:cs="Times New Roman"/>
          <w:color w:val="000000"/>
          <w:kern w:val="0"/>
          <w:sz w:val="32"/>
          <w:szCs w:val="32"/>
          <w:shd w:val="clear" w:color="auto" w:fill="FFFFFF"/>
          <w:lang w:bidi="ar"/>
        </w:rPr>
        <w:t>。</w:t>
      </w:r>
    </w:p>
    <w:p w14:paraId="6E8B2C0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4.2.6 空调机组应进行消声隔振处理，新风热回收装置的新风出口处和排风入口处应设置消声装置及软连接。在新风管进入卧室、起居室等房间前宜在管道上设置消声器或消声弯头。机组不应靠近声环境要求较高的房间。</w:t>
      </w:r>
    </w:p>
    <w:p w14:paraId="5D0952A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4.2.7 当设备管线穿过楼板和墙体时，孔洞应采取密封隔声措施。</w:t>
      </w:r>
    </w:p>
    <w:p w14:paraId="32D63D8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4.2.8 宜对交通干道的噪声采取设置声屏障或利用景观绿化带等降噪措施，优化场地声环境。</w:t>
      </w:r>
    </w:p>
    <w:p w14:paraId="0FAB0599">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Ⅲ 空气清新</w:t>
      </w:r>
    </w:p>
    <w:p w14:paraId="2905888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4.2.9 室内装饰材料采用E0级低甲醛建材，主要功能房间多孔材料甲醛释放率不高于0.05mg/（m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・h）。</w:t>
      </w:r>
    </w:p>
    <w:p w14:paraId="3B6627D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4.2.10 卧室、起居室等长期停留房间安装可调节双向新风换气系统，具备除尘、降霾、热量回收功能，设置二氧化硫、二氧化氮、一氧化碳、PM</w:t>
      </w:r>
      <w:r>
        <w:rPr>
          <w:rFonts w:ascii="Times New Roman" w:hAnsi="Times New Roman" w:eastAsia="仿宋_GB2312" w:cs="Times New Roman"/>
          <w:color w:val="000000"/>
          <w:kern w:val="0"/>
          <w:sz w:val="32"/>
          <w:szCs w:val="32"/>
          <w:shd w:val="clear" w:color="auto" w:fill="FFFFFF"/>
          <w:vertAlign w:val="subscript"/>
          <w:lang w:bidi="ar"/>
        </w:rPr>
        <w:t>10</w:t>
      </w:r>
      <w:r>
        <w:rPr>
          <w:rFonts w:ascii="Times New Roman" w:hAnsi="Times New Roman" w:eastAsia="仿宋_GB2312" w:cs="Times New Roman"/>
          <w:color w:val="000000"/>
          <w:kern w:val="0"/>
          <w:sz w:val="32"/>
          <w:szCs w:val="32"/>
          <w:shd w:val="clear" w:color="auto" w:fill="FFFFFF"/>
          <w:lang w:bidi="ar"/>
        </w:rPr>
        <w:t>、PM</w:t>
      </w:r>
      <w:r>
        <w:rPr>
          <w:rFonts w:ascii="Times New Roman" w:hAnsi="Times New Roman" w:eastAsia="仿宋_GB2312" w:cs="Times New Roman"/>
          <w:color w:val="000000"/>
          <w:kern w:val="0"/>
          <w:sz w:val="32"/>
          <w:szCs w:val="32"/>
          <w:shd w:val="clear" w:color="auto" w:fill="FFFFFF"/>
          <w:vertAlign w:val="subscript"/>
          <w:lang w:bidi="ar"/>
        </w:rPr>
        <w:t>2.5</w:t>
      </w:r>
      <w:r>
        <w:rPr>
          <w:rFonts w:ascii="Times New Roman" w:hAnsi="Times New Roman" w:eastAsia="仿宋_GB2312" w:cs="Times New Roman"/>
          <w:color w:val="000000"/>
          <w:kern w:val="0"/>
          <w:sz w:val="32"/>
          <w:szCs w:val="32"/>
          <w:shd w:val="clear" w:color="auto" w:fill="FFFFFF"/>
          <w:lang w:bidi="ar"/>
        </w:rPr>
        <w:t>等实时监测系统。</w:t>
      </w:r>
    </w:p>
    <w:p w14:paraId="13757F6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4.2.11 采用防止排水系统返臭气的措施，并保证高层住宅排水立管的排水能力不小于排水管道设计秒流量1.6倍。</w:t>
      </w:r>
    </w:p>
    <w:p w14:paraId="0F4B651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4.2.12 干湿分离卫生间干区不宜设置地漏。</w:t>
      </w:r>
    </w:p>
    <w:p w14:paraId="5669DCD5">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Ⅳ 水质健康</w:t>
      </w:r>
    </w:p>
    <w:p w14:paraId="5B49301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4.2.13 预留全屋净水系统安装空间及给排水条件；户内给水管道采用不锈钢管或铜管。</w:t>
      </w:r>
    </w:p>
    <w:p w14:paraId="1DABC34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4.2.14 淋浴器设置带温度显示功能的恒温混水阀。</w:t>
      </w:r>
    </w:p>
    <w:p w14:paraId="0F600B89">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Ⅴ 光照良好</w:t>
      </w:r>
    </w:p>
    <w:p w14:paraId="41EA282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4.2.15 每套住宅应满足大寒日2小时日照标准，套型内满足日照标准要求的居住空间数量应满足下列规定：居室数量不大于2个时，不应少于一个；居室数量3个时不少于2；个居住空间达标，4个及以上时不少于3个。</w:t>
      </w:r>
    </w:p>
    <w:p w14:paraId="3DAAEBB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4.2.16 当采用自然采光时，采用可移动窗帘、反射式遮阳设施等避免太阳直射眩光。</w:t>
      </w:r>
    </w:p>
    <w:p w14:paraId="6ABC4D0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4.2.17 户内宜设置照度、色温可调节的照明设备。室内照明的一般空间统一眩光值UGR不宜大于21，书写阅读空间统一眩光值UGR不宜大于19。</w:t>
      </w:r>
    </w:p>
    <w:p w14:paraId="3AE43EC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4.2.18 车库宜设置下沉庭院、采光井或导光管等自然采光措施。车库车道处照度标准值不小于75 lx，停车位不小于50 lx。</w:t>
      </w:r>
    </w:p>
    <w:p w14:paraId="2C843CFD">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VI 热湿均衡</w:t>
      </w:r>
    </w:p>
    <w:p w14:paraId="398C5B9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4.2.19 地下室等潮湿环境敷设的管道、设备、附件等应采取防结露措施。地下车库宜设置除湿设备，地下车库单元门厅内宜设置空调或除湿设备。</w:t>
      </w:r>
    </w:p>
    <w:p w14:paraId="775A69A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4.2.20 住宅围护结构宜采取防霉抗菌措施。围护结构内表面宜采用抑制霉菌、嗜肺军团菌、β-溶血性链球菌等滋生的材料，涂抹防霉抗菌涂料。围护结构接缝处宜填充防霉密封胶或填缝剂。</w:t>
      </w:r>
    </w:p>
    <w:p w14:paraId="0AB861C4">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5 宜居便利</w:t>
      </w:r>
    </w:p>
    <w:p w14:paraId="420CA157">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5.1 控制项</w:t>
      </w:r>
    </w:p>
    <w:p w14:paraId="0CDB611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 小区应结合实际营造全龄友好环境，设置集中绿地、健身场地、老年人及儿童活动场地，人均集中绿地不小于 0.5m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，集中绿地宽度不小于8m，在标准的建筑日照阴影线外绿地面积占比不小于1/3。</w:t>
      </w:r>
    </w:p>
    <w:p w14:paraId="0EC3F4B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5.1.2 建筑室内外公共区域、主要出入口、室外场地、公共绿地、城市道路等之间应设置连贯的无障碍</w:t>
      </w:r>
      <w:r>
        <w:rPr>
          <w:rFonts w:hint="eastAsia" w:ascii="Times New Roman" w:hAnsi="Times New Roman" w:eastAsia="仿宋_GB2312" w:cs="Times New Roman"/>
          <w:color w:val="000000"/>
          <w:kern w:val="0"/>
          <w:sz w:val="32"/>
          <w:szCs w:val="32"/>
          <w:shd w:val="clear" w:color="auto" w:fill="FFFFFF"/>
          <w:lang w:bidi="ar"/>
        </w:rPr>
        <w:t>通</w:t>
      </w:r>
      <w:r>
        <w:rPr>
          <w:rFonts w:ascii="Times New Roman" w:hAnsi="Times New Roman" w:eastAsia="仿宋_GB2312" w:cs="Times New Roman"/>
          <w:color w:val="000000"/>
          <w:kern w:val="0"/>
          <w:sz w:val="32"/>
          <w:szCs w:val="32"/>
          <w:shd w:val="clear" w:color="auto" w:fill="FFFFFF"/>
          <w:lang w:bidi="ar"/>
        </w:rPr>
        <w:t>行系统。</w:t>
      </w:r>
    </w:p>
    <w:p w14:paraId="2616340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5.1.3 小区内应合理设置健身场地和空间。室外健身场地面积不少于总用地面积的0.5%；设置宽度不少于1.25m的专用健身慢行道，长度不少于用地红线周长的1/4且不小于100m，起止位置应有明显标识；室内健身空间面积不少于地上建筑面积的0.3%且不小于60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；健身场地及慢行道应与夜间照明，地面应采用适合运动的环保柔性材料。</w:t>
      </w:r>
    </w:p>
    <w:p w14:paraId="29E1B0B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5.1.4 小区主要出入口前应设置进深不小于10m的缓冲空间，便于小区平急两用及各种流线的组织及分隔；小区内应实行人车分流，当设置地面机动车停车位时，应沿外围车行道路布置，不得与人行道路交叉。小区内道路系统应便捷通畅，满足消防、急救、环卫、减灾、救灾、搬家等要求，确保急救车辆可达每栋建筑出入口。</w:t>
      </w:r>
    </w:p>
    <w:p w14:paraId="2563A00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5.1.5 非机动车、电动自行车停车棚应位置合理，便于出行。充电设施安装到位并设置计量装置。</w:t>
      </w:r>
    </w:p>
    <w:p w14:paraId="7F12313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5.1.6 合理布置垃圾分类收集设施和环卫清运系统，生活垃圾分类收集场所、设施和收集率应符合城市管理规定。小区应设置垃圾周转点、宠物排泄物收集设施，单元的地上、地下出入口附近应设置垃圾收集点。</w:t>
      </w:r>
    </w:p>
    <w:p w14:paraId="289E4C4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5.1.7 小区场地应当按城市规划确定的控制标高做好竖向设计，与城市道路或相邻地块之间高差较大时应采取有效的防倒灌措施。地下车库出入口，应设置在竖向高点区域位置。</w:t>
      </w:r>
    </w:p>
    <w:p w14:paraId="42F7C53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5.1.8 住宅层高不应小于3.0m，卧室、起居室室内净高不应低于2.6m，局部净高不应低于2.2m，且局部净高低于2.6m的面积不应大于使用面积的1/3。当利用坡屋顶内空间作卧室、起居室时，室内净高不低于2.2m的使用面积不应小于室内使用面积的1/2。</w:t>
      </w:r>
    </w:p>
    <w:p w14:paraId="4750E32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5.1.9 住宅套内至少有1间起居室或卧室，与餐厅、厨房和卫生间的高差应满足无障碍要求。</w:t>
      </w:r>
    </w:p>
    <w:p w14:paraId="13A0986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5.1.10 入户层为4层及以上的住宅，每单元至少设置1部可容纳担架的电梯，采用双电源配置；电梯轿厢长边不小于1.6m、短边不小于1.5m或宽度不小于1.1m、深度不小于2.1m。</w:t>
      </w:r>
    </w:p>
    <w:p w14:paraId="230010C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5.1.11 新建住宅配建停车位应100%建设充电设施或 预留充电设施安装条件，将电缆桥架、保护套管、电缆管廊、电缆配备至所有固定车位，与主体建筑同步设计、施工、验收。电动汽车充电设施安装到位数量不低于10%。</w:t>
      </w:r>
    </w:p>
    <w:p w14:paraId="263DD23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5.1.12地下车库内小型汽车车位，采用垂直式停车时，车位宽度不应小于2.5m，长度不应小于5.3m。</w:t>
      </w:r>
    </w:p>
    <w:p w14:paraId="503332D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5.1.13场地人行出入口500m内应设有公共交通站点或配备联系公共交通站点的接驳车。</w:t>
      </w:r>
    </w:p>
    <w:p w14:paraId="6540D21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5.1.14商业部分应独立设置且与住宅分离，不得以裙房形式设置，独立商业建筑退让用地红线不小于12m。</w:t>
      </w:r>
    </w:p>
    <w:p w14:paraId="1090B4E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5.1.15沿主要城市道路的建筑立面应采用公建化立面设计，不应设置阳台和外观明显的消防连廊。新建小区建筑立面应对空调设置进行一体化设计，统一遮挡，并保证空调安装方便、安全。</w:t>
      </w:r>
    </w:p>
    <w:p w14:paraId="3FEB701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5.1.16临主要街路退线空间内不得设置机动车停车位，可安排临时落客区，建筑前区应与规划绿化用地、城市道路慢行空间进行一体化设计，统一实施。</w:t>
      </w:r>
    </w:p>
    <w:p w14:paraId="7B4736E0">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5.2 提升项</w:t>
      </w:r>
    </w:p>
    <w:p w14:paraId="2CBA005B">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环境宜居</w:t>
      </w:r>
    </w:p>
    <w:p w14:paraId="4E67F9C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 小区主入口应设置大堂，布置物业前台、会客区、公共卫生间等功能；单元入口进行高差处理，入户处的道路标高适当抬高，降低入口台阶高度。鼓励设置平坡入户，避免设置台阶。</w:t>
      </w:r>
    </w:p>
    <w:p w14:paraId="405CBF2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 高层住宅主要居室与相邻建筑窗户直视距离不小于18m，多层住宅不小于15m；地下车库排风井不与住宅居住空间窗户贴邻。</w:t>
      </w:r>
    </w:p>
    <w:p w14:paraId="12FE9A5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5.2.3小区内水泵房、变电所、换热站等设备用房布置在地下室时，在竖向和水平向应与住宅套内房间间距大于9.0m。</w:t>
      </w:r>
    </w:p>
    <w:p w14:paraId="73002B0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5.2.4地下汽车库出入口坡道设计应满足以下要求：</w:t>
      </w:r>
    </w:p>
    <w:p w14:paraId="1008B452">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坡道与住宅东西山墙之间的距离不应小于1.0m，与住宅南北向设有外窗的外墙之间的距离应不小于10m；</w:t>
      </w:r>
    </w:p>
    <w:p w14:paraId="156BDDA9">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单车道净宽度：直线式坡道不小于4.0m，曲线式坡道不小于5.0m；双车道净宽度：直线式坡道不小于7.0m，曲线式坡道不小于7.5m；</w:t>
      </w:r>
    </w:p>
    <w:p w14:paraId="793087BD">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 地库的坡道地上出口与室外道路垂直相接时，从坡道起坡点到道路边线应设不小于7.5m的缓冲空间，且应有良好的通视条件；</w:t>
      </w:r>
    </w:p>
    <w:p w14:paraId="482FC9B3">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 地下汽车库出入口坡道上部应设置或预留防水闸安装的位置。有条件时，可采用自动防水闸。应在每个地下车库出入口附近设置或预留应急防汛物资储存空间或收纳柜。</w:t>
      </w:r>
    </w:p>
    <w:p w14:paraId="1CFAC9A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5.2.5 小区内老年活动场地应与儿童活动场地相邻布置，与周边道路等应有无障碍连接；场地应适当设置遮阳挡雨设施及休息座椅，座椅数量不宜少于6个；场地100m范围内设置公共厕所、饮水处等设施。</w:t>
      </w:r>
    </w:p>
    <w:p w14:paraId="12F96FF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5.2.6 老年人、儿童活动场地及健身场地的边缘应远离住宅建筑，与居民窗户的距离不应小于8.0m，避免对居民的正常生活造成干扰。</w:t>
      </w:r>
    </w:p>
    <w:p w14:paraId="74515C7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5.2.7 室外健身场地内健身设施的台数不小于建筑总人数的1%，且种类不小于4种。</w:t>
      </w:r>
    </w:p>
    <w:p w14:paraId="02DBAF2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5.2.8 在满足规划条件及相关配置标准规定的前提下，应增设小区公益性服务设施，如小区食堂、图书馆、老年活动站、健身房等。同时应设置多种交往空间，用作公共活动使用，如风雨连廊、对内开放使用的公共会所等。</w:t>
      </w:r>
    </w:p>
    <w:p w14:paraId="30911F9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highlight w:val="none"/>
          <w:shd w:val="clear" w:color="auto" w:fill="FFFFFF"/>
          <w:lang w:bidi="ar"/>
        </w:rPr>
        <w:t>5.2.9</w:t>
      </w:r>
      <w:r>
        <w:rPr>
          <w:rFonts w:ascii="Times New Roman" w:hAnsi="Times New Roman" w:eastAsia="仿宋_GB2312" w:cs="Times New Roman"/>
          <w:color w:val="000000"/>
          <w:kern w:val="0"/>
          <w:sz w:val="32"/>
          <w:szCs w:val="32"/>
          <w:shd w:val="clear" w:color="auto" w:fill="FFFFFF"/>
          <w:lang w:bidi="ar"/>
        </w:rPr>
        <w:t xml:space="preserve"> 新建小区宜为17层及以下住宅，</w:t>
      </w:r>
      <w:r>
        <w:rPr>
          <w:rFonts w:hint="eastAsia" w:ascii="Times New Roman" w:hAnsi="Times New Roman" w:eastAsia="仿宋_GB2312" w:cs="Times New Roman"/>
          <w:color w:val="000000"/>
          <w:kern w:val="0"/>
          <w:sz w:val="32"/>
          <w:szCs w:val="32"/>
          <w:shd w:val="clear" w:color="auto" w:fill="FFFFFF"/>
          <w:lang w:val="en-US" w:eastAsia="zh-CN" w:bidi="ar"/>
        </w:rPr>
        <w:t>控制指标依据相关规范设定，应设置社区游园，包含体育活动场地</w:t>
      </w:r>
      <w:r>
        <w:rPr>
          <w:rFonts w:ascii="Times New Roman" w:hAnsi="Times New Roman" w:eastAsia="仿宋_GB2312" w:cs="Times New Roman"/>
          <w:color w:val="000000"/>
          <w:kern w:val="0"/>
          <w:sz w:val="32"/>
          <w:szCs w:val="32"/>
          <w:shd w:val="clear" w:color="auto" w:fill="FFFFFF"/>
          <w:lang w:bidi="ar"/>
        </w:rPr>
        <w:t>。</w:t>
      </w:r>
    </w:p>
    <w:p w14:paraId="38F1321C">
      <w:pP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5.2.10小区采用通透式围墙，建筑底部采用石材、面砖等能够体现阜新地区建筑风格、适合</w:t>
      </w:r>
      <w:r>
        <w:rPr>
          <w:rFonts w:hint="eastAsia" w:ascii="Times New Roman" w:hAnsi="Times New Roman" w:eastAsia="仿宋_GB2312" w:cs="Times New Roman"/>
          <w:color w:val="000000"/>
          <w:kern w:val="0"/>
          <w:sz w:val="32"/>
          <w:szCs w:val="32"/>
          <w:shd w:val="clear" w:color="auto" w:fill="FFFFFF"/>
          <w:lang w:bidi="ar"/>
        </w:rPr>
        <w:t>阜新</w:t>
      </w:r>
      <w:r>
        <w:rPr>
          <w:rFonts w:ascii="Times New Roman" w:hAnsi="Times New Roman" w:eastAsia="仿宋_GB2312" w:cs="Times New Roman"/>
          <w:color w:val="000000"/>
          <w:kern w:val="0"/>
          <w:sz w:val="32"/>
          <w:szCs w:val="32"/>
          <w:shd w:val="clear" w:color="auto" w:fill="FFFFFF"/>
          <w:lang w:bidi="ar"/>
        </w:rPr>
        <w:t>地区气候特征的建筑材料。</w:t>
      </w:r>
      <w:bookmarkStart w:id="3" w:name="_GoBack"/>
      <w:bookmarkEnd w:id="3"/>
    </w:p>
    <w:p w14:paraId="7FFBE0BC">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空间宜居</w:t>
      </w:r>
    </w:p>
    <w:p w14:paraId="4BDCCCF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5.2.11设有公共走廊时，公共走廊净宽不小于1.5m，净高不低于2.3m；设置封闭外廊时，应设置可开启窗扇。</w:t>
      </w:r>
    </w:p>
    <w:p w14:paraId="42BF76D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5.2.12 住宅地上、地下单元入口应设置大堂，使用面积不小于15m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；地上单元门采用不小于1.8m×2.3m（宽×高）的金属框玻璃门。</w:t>
      </w:r>
    </w:p>
    <w:p w14:paraId="73751B8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5.2.13 住宅应设置入户玄关空间，预留玄关柜及消杀设施的位置。独立入户玄关的净宽不宜小于1.30m（不含玄关柜深度），安装玄关柜位置深度不小于350mm。入户门边放玄关柜一侧至少预留400mm门垛。</w:t>
      </w:r>
    </w:p>
    <w:p w14:paraId="6EB3CFA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5.2.14住宅入户门门洞高度不低于2.3m，宽度不低于1.2m；外开户门不应影响电梯、楼梯、走廊、相邻住户的通行及消火栓的使用，外开户门不应遮挡电梯门和电梯按钮；相邻户门并列布置时，门间墙宽度不应小于0.4m；相邻户门为L型布置时，门间墙宽度不应小于1.5m。</w:t>
      </w:r>
    </w:p>
    <w:p w14:paraId="71CC14B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5.2.15 住宅底部商业网点的屋顶女儿墙及装饰构件不应高于相邻住户窗台，避免影响住户房间的采光。</w:t>
      </w:r>
    </w:p>
    <w:p w14:paraId="136718E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5.2.16 住宅首层门厅的墙体、梁柱、女儿墙、装饰构件等不应影响住宅的采光；首层天井内侧设置起居室、卧室、书房、厨房时，外侧不应设置门厅；门厅屋面女儿墙高度不应高于上层住户窗台；门厅天井内侧墙面应采用浅色饰面。</w:t>
      </w:r>
    </w:p>
    <w:p w14:paraId="17F09C9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5.2.17 住宅建筑轮廓应规整，当卧室、起居室、书房、厨房的外窗设置在凹槽内时，凹槽净宽不应小于1.5m，宽深比不小于1:2。</w:t>
      </w:r>
    </w:p>
    <w:p w14:paraId="34B041C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5.2.18 除主卧外，每套住宅至少应有1间卧室的门洞宽度不应小于1.0m，平开门开启后的通行净宽不小于0.9m。临近此卧室的淋浴间及坐便器处应预留设置安全抓杆的空间和条件。</w:t>
      </w:r>
    </w:p>
    <w:p w14:paraId="4CF7D28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5.2.19 靠近外门窗的排水、雨水立管外壁与外门窗边（外门窗平行方向）间距不应小于100mm，且不应遮挡墙体空调套管。</w:t>
      </w:r>
    </w:p>
    <w:p w14:paraId="45E3316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5.2.20 住宅建筑应当结合建筑立面统一设计封闭阳台。宜分生活阳台及服务阳台。生活阳台宜设在起居厅或卧室外，进深不应小于1.5m，服务阳台宜设在餐厅或厨房外。</w:t>
      </w:r>
    </w:p>
    <w:p w14:paraId="04ABD51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5.2.21住宅厨房使用面积：90m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以下户型，厨房不小于4.5m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，90～140m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户型，厨房不小于6.0m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，140m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以上户型，厨房不小于8.0m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；厨房操作台总长度不小于2.7m。台前操作空间深度不应小于1.0m。</w:t>
      </w:r>
    </w:p>
    <w:p w14:paraId="1D34C62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5.2.22 每个户型宜设两处卫生间，至少1个全明设计；仅设1个卫生间时采用干湿分离布置。卫生间洗面器、便器前应留有不小于700mm×600mm（宽×深）的空间。设置便器、洗浴器（浴缸或淋浴）、洗面器的卫生间使用面积不应小于4.0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w:t>
      </w:r>
    </w:p>
    <w:p w14:paraId="23C8A31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5.2.23 地下汽车库停车空间设计应满足以下要求：</w:t>
      </w:r>
    </w:p>
    <w:p w14:paraId="5FD193E9">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当车库内部设置尽端式车道时，车道长度不应大于30m，且尽端处停车位应预留倒车空间；</w:t>
      </w:r>
    </w:p>
    <w:p w14:paraId="74A0A22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行车道应视线良好，车行道转角处不宜设置通长连续的墙体。当不得不设置防火墙等连续墙体时，应将墙体偏离车行道1跨及以上，或将影响行车视线的隔墙改为卷帘；</w:t>
      </w:r>
    </w:p>
    <w:p w14:paraId="7D862829">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 疏散通道、集水坑及开启后的人防门、防火门（含设备管井门）不应挤占停车位空间；</w:t>
      </w:r>
    </w:p>
    <w:p w14:paraId="1260180F">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 结构柱及消火栓不应挤占停车位空间；</w:t>
      </w:r>
    </w:p>
    <w:p w14:paraId="2FF988E5">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 地下室防火卷帘不应影响车位净宽，应采用双轨双帘的防火卷帘，侧面应设置不小于400mm的墙垛作为收口。</w:t>
      </w:r>
    </w:p>
    <w:p w14:paraId="50D0B2D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5.2.24 小区应配置不小于配建标准20%的较大机动车停车位，该停车位宽度不小于2.6m、深度不小于5.5m。</w:t>
      </w:r>
    </w:p>
    <w:p w14:paraId="1224610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5.2.25 地下汽车库出入口坡道垂直净高应大于2.4m。考虑卸货及救护车通行的需求，地下空间至少1个坡道出入口的垂直净高应大于2.8m。地下车库净高不应小于2.4m，车库主通道宽度不应小于6.0m。</w:t>
      </w:r>
    </w:p>
    <w:p w14:paraId="63B7C54E">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Ⅲ 性能宜居</w:t>
      </w:r>
    </w:p>
    <w:p w14:paraId="661B05C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5.2.26 住宅设计应从建筑全寿命周期考虑，提倡采用有利于空间灵活分隔的结构体系和墙体，客厅、多厅一体等空间不宜出现结构梁。</w:t>
      </w:r>
    </w:p>
    <w:p w14:paraId="0DEA893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5.2.27 现浇楼板厚度不应小于130mm，预制叠合楼板厚度不应小于140mm，且须满足双向板厚度不小于短跨的1/30。</w:t>
      </w:r>
    </w:p>
    <w:p w14:paraId="0B7DDC5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5.2.28 设有3个及以上卫生间的住宅，局部热水供应系统采用共用热水器时，应设小循环泵机械循环。</w:t>
      </w:r>
    </w:p>
    <w:p w14:paraId="46A2DDEA">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Ⅳ 生活便利</w:t>
      </w:r>
    </w:p>
    <w:p w14:paraId="1E98B02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5.2.29 场地出入口步行距离800m范围内宜设有不少于2条线路的公共交通站点。</w:t>
      </w:r>
    </w:p>
    <w:p w14:paraId="23BCC1F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5.2.30 场地出入口到幼儿园步行距离不大于300m，到小学不大于500m，到中学不大于1000m，到医院不大于1000m；到达群众文化活动设施的步行距离不大于800m；到达老年人日间照料设施的步行距离不大于500m；周边500m范围内具有不少于3种商业服务设施。</w:t>
      </w:r>
    </w:p>
    <w:p w14:paraId="3F3E952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5.2.31 小区主入口前区应设置不小于200m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缓冲空间，并预留访客车位、快递车位、急救车位、搬家车位等。</w:t>
      </w:r>
    </w:p>
    <w:p w14:paraId="111AA69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5.2.32 新建住宅地下室的人防区域，处于归家路线及车库行车路线上的人防门，宜采用无门槛式。</w:t>
      </w:r>
    </w:p>
    <w:p w14:paraId="26B69D8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5.2.33 小区配套公共服务设施独立、集中布置，且交通便利、可达性好。社区综合服务设施、居家养老服务设施、托幼、医疗设施宜临近绿地广场、人流活动较多的区域，原则上不与垃圾处理、地面市政、独立的公厕等设施毗邻。</w:t>
      </w:r>
    </w:p>
    <w:p w14:paraId="16125078">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6 绿色低碳</w:t>
      </w:r>
    </w:p>
    <w:p w14:paraId="69021924">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6.1 控制项</w:t>
      </w:r>
    </w:p>
    <w:p w14:paraId="543A3C8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 新建住宅套内空间应实行全装修，采用一体化设计和施工；内装系统应与结构系统、外围护系统、设备管线系统一体化集成设计。</w:t>
      </w:r>
    </w:p>
    <w:p w14:paraId="59B11900">
      <w:pPr>
        <w:rPr>
          <w:rFonts w:ascii="Times New Roman" w:hAnsi="Times New Roman" w:eastAsia="Segoe UI" w:cs="Times New Roman"/>
          <w:color w:val="000000"/>
          <w:kern w:val="0"/>
          <w:sz w:val="24"/>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6.1.2 建筑节能设计以</w:t>
      </w:r>
      <w:r>
        <w:rPr>
          <w:rFonts w:ascii="Times New Roman" w:hAnsi="Times New Roman" w:eastAsia="仿宋_GB2312" w:cs="Times New Roman"/>
          <w:color w:val="000000"/>
          <w:kern w:val="0"/>
          <w:sz w:val="32"/>
          <w:szCs w:val="32"/>
          <w:shd w:val="clear" w:color="auto" w:fill="FFFFFF"/>
          <w:lang w:eastAsia="zh" w:bidi="ar"/>
        </w:rPr>
        <w:t>《建筑节能与可再生能源利用通用规范》</w:t>
      </w:r>
      <w:r>
        <w:rPr>
          <w:rFonts w:ascii="Times New Roman" w:hAnsi="Times New Roman" w:eastAsia="仿宋_GB2312" w:cs="Times New Roman"/>
          <w:color w:val="000000"/>
          <w:kern w:val="0"/>
          <w:sz w:val="32"/>
          <w:szCs w:val="32"/>
          <w:shd w:val="clear" w:color="auto" w:fill="FFFFFF"/>
          <w:lang w:bidi="ar"/>
        </w:rPr>
        <w:t>GB55015为基准，围护结构热工性能提高5%，或建筑供暖空调负荷降低3%，外窗传热系数应降低10%。住宅建筑非透光围护结构和透光围护结构的热工性能指标应符合6.1.2-1和6.1.2-2的规定。</w:t>
      </w:r>
    </w:p>
    <w:p w14:paraId="01FBB652">
      <w:pPr>
        <w:kinsoku w:val="0"/>
        <w:autoSpaceDE w:val="0"/>
        <w:adjustRightInd w:val="0"/>
        <w:snapToGrid w:val="0"/>
        <w:spacing w:line="360" w:lineRule="auto"/>
        <w:jc w:val="center"/>
        <w:textAlignment w:val="baseline"/>
        <w:rPr>
          <w:rFonts w:ascii="Times New Roman" w:hAnsi="Times New Roman" w:eastAsia="宋体" w:cs="Times New Roman"/>
          <w:b/>
          <w:bCs/>
          <w:kern w:val="0"/>
          <w:sz w:val="24"/>
        </w:rPr>
      </w:pPr>
      <w:r>
        <w:rPr>
          <w:rFonts w:ascii="Times New Roman" w:hAnsi="Times New Roman" w:eastAsia="宋体" w:cs="Times New Roman"/>
          <w:b/>
          <w:bCs/>
          <w:snapToGrid w:val="0"/>
          <w:kern w:val="0"/>
          <w:sz w:val="24"/>
          <w:lang w:bidi="ar"/>
        </w:rPr>
        <w:t>表6.1.2-1 严寒C区住宅建筑围护结构热工性能参数限值</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6"/>
        <w:gridCol w:w="2150"/>
        <w:gridCol w:w="1220"/>
      </w:tblGrid>
      <w:tr w14:paraId="20F1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796507">
            <w:pPr>
              <w:kinsoku w:val="0"/>
              <w:autoSpaceDE w:val="0"/>
              <w:adjustRightInd w:val="0"/>
              <w:spacing w:line="360" w:lineRule="auto"/>
              <w:jc w:val="center"/>
              <w:textAlignment w:val="baseline"/>
              <w:rPr>
                <w:rFonts w:ascii="Times New Roman" w:hAnsi="Times New Roman" w:eastAsia="宋体" w:cs="Times New Roman"/>
                <w:kern w:val="0"/>
                <w:sz w:val="24"/>
              </w:rPr>
            </w:pPr>
            <w:bookmarkStart w:id="0" w:name="OLE_LINK4"/>
            <w:r>
              <w:rPr>
                <w:rFonts w:ascii="Times New Roman" w:hAnsi="Times New Roman" w:eastAsia="宋体" w:cs="Times New Roman"/>
                <w:snapToGrid w:val="0"/>
                <w:kern w:val="0"/>
                <w:sz w:val="24"/>
                <w:lang w:bidi="ar"/>
              </w:rPr>
              <w:t>围护结构部位</w:t>
            </w:r>
            <w:bookmarkEnd w:id="0"/>
          </w:p>
        </w:tc>
        <w:tc>
          <w:tcPr>
            <w:tcW w:w="20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EF3FB7">
            <w:pPr>
              <w:kinsoku w:val="0"/>
              <w:autoSpaceDE w:val="0"/>
              <w:adjustRightInd w:val="0"/>
              <w:spacing w:line="360" w:lineRule="auto"/>
              <w:jc w:val="center"/>
              <w:textAlignment w:val="baseline"/>
              <w:rPr>
                <w:rFonts w:ascii="Times New Roman" w:hAnsi="Times New Roman" w:eastAsia="宋体" w:cs="Times New Roman"/>
                <w:kern w:val="0"/>
                <w:sz w:val="24"/>
                <w:lang w:eastAsia="zh"/>
              </w:rPr>
            </w:pPr>
            <w:r>
              <w:rPr>
                <w:rFonts w:ascii="Times New Roman" w:hAnsi="Times New Roman" w:eastAsia="宋体" w:cs="Times New Roman"/>
                <w:snapToGrid w:val="0"/>
                <w:kern w:val="0"/>
                <w:sz w:val="24"/>
                <w:lang w:bidi="ar"/>
              </w:rPr>
              <w:t>传热系数K</w:t>
            </w:r>
            <w:r>
              <w:rPr>
                <w:rFonts w:ascii="Times New Roman" w:hAnsi="Times New Roman" w:eastAsia="宋体" w:cs="Times New Roman"/>
                <w:snapToGrid w:val="0"/>
                <w:kern w:val="0"/>
                <w:sz w:val="24"/>
                <w:lang w:eastAsia="zh" w:bidi="ar"/>
              </w:rPr>
              <w:t>[W/m</w:t>
            </w:r>
            <w:r>
              <w:rPr>
                <w:rFonts w:ascii="Times New Roman" w:hAnsi="Times New Roman" w:eastAsia="宋体" w:cs="Times New Roman"/>
                <w:snapToGrid w:val="0"/>
                <w:kern w:val="0"/>
                <w:sz w:val="24"/>
                <w:vertAlign w:val="superscript"/>
                <w:lang w:eastAsia="zh" w:bidi="ar"/>
              </w:rPr>
              <w:t>2</w:t>
            </w:r>
            <w:r>
              <w:rPr>
                <w:rFonts w:ascii="Times New Roman" w:hAnsi="Times New Roman" w:eastAsia="宋体" w:cs="Times New Roman"/>
                <w:snapToGrid w:val="0"/>
                <w:kern w:val="0"/>
                <w:sz w:val="24"/>
                <w:lang w:eastAsia="zh" w:bidi="ar"/>
              </w:rPr>
              <w:t>·K]</w:t>
            </w:r>
          </w:p>
        </w:tc>
      </w:tr>
      <w:tr w14:paraId="4698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58F005">
            <w:pPr>
              <w:jc w:val="center"/>
              <w:rPr>
                <w:rFonts w:ascii="Times New Roman" w:hAnsi="Times New Roman" w:cs="Times New Roman"/>
                <w:sz w:val="24"/>
              </w:rPr>
            </w:pP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3BAB5CF8">
            <w:pPr>
              <w:kinsoku w:val="0"/>
              <w:autoSpaceDE w:val="0"/>
              <w:adjustRightInd w:val="0"/>
              <w:spacing w:line="360" w:lineRule="auto"/>
              <w:jc w:val="center"/>
              <w:textAlignment w:val="baseline"/>
              <w:rPr>
                <w:rFonts w:ascii="Times New Roman" w:hAnsi="Times New Roman" w:eastAsia="宋体" w:cs="Times New Roman"/>
                <w:sz w:val="24"/>
              </w:rPr>
            </w:pPr>
            <w:bookmarkStart w:id="1" w:name="OLE_LINK1"/>
            <w:r>
              <w:rPr>
                <w:rFonts w:ascii="Times New Roman" w:hAnsi="Times New Roman" w:eastAsia="仿宋" w:cs="Times New Roman"/>
                <w:snapToGrid w:val="0"/>
                <w:sz w:val="24"/>
                <w:lang w:bidi="ar"/>
              </w:rPr>
              <w:t>≤</w:t>
            </w:r>
            <w:bookmarkEnd w:id="1"/>
            <w:r>
              <w:rPr>
                <w:rFonts w:ascii="Times New Roman" w:hAnsi="Times New Roman" w:eastAsia="宋体" w:cs="Times New Roman"/>
                <w:snapToGrid w:val="0"/>
                <w:sz w:val="24"/>
                <w:lang w:bidi="ar"/>
              </w:rPr>
              <w:t>3层</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39FCA56F">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仿宋" w:cs="Times New Roman"/>
                <w:snapToGrid w:val="0"/>
                <w:sz w:val="24"/>
                <w:lang w:eastAsia="zh" w:bidi="ar"/>
              </w:rPr>
              <w:t>＞</w:t>
            </w:r>
            <w:r>
              <w:rPr>
                <w:rFonts w:ascii="Times New Roman" w:hAnsi="Times New Roman" w:eastAsia="宋体" w:cs="Times New Roman"/>
                <w:snapToGrid w:val="0"/>
                <w:sz w:val="24"/>
                <w:lang w:bidi="ar"/>
              </w:rPr>
              <w:t>3层</w:t>
            </w:r>
          </w:p>
        </w:tc>
      </w:tr>
      <w:tr w14:paraId="6CD1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77F225D7">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sz w:val="24"/>
                <w:lang w:bidi="ar"/>
              </w:rPr>
              <w:t>屋面</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603222D9">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0.19</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7C410D8F">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0.19</w:t>
            </w:r>
          </w:p>
        </w:tc>
      </w:tr>
      <w:tr w14:paraId="036D8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4F44FB10">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sz w:val="24"/>
                <w:lang w:bidi="ar"/>
              </w:rPr>
              <w:t>外墙</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4B59997B">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≤0</w:t>
            </w:r>
            <w:r>
              <w:rPr>
                <w:rFonts w:ascii="Times New Roman" w:hAnsi="Times New Roman" w:eastAsia="宋体" w:cs="Times New Roman"/>
                <w:snapToGrid w:val="0"/>
                <w:sz w:val="24"/>
                <w:lang w:bidi="ar"/>
              </w:rPr>
              <w:t>.285</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3C154719">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0.38</w:t>
            </w:r>
          </w:p>
        </w:tc>
      </w:tr>
      <w:tr w14:paraId="1D20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342C6072">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sz w:val="24"/>
                <w:lang w:bidi="ar"/>
              </w:rPr>
              <w:t>架空或外挑楼板</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52D38A62">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0.285</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0AB843F4">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0.38</w:t>
            </w:r>
          </w:p>
        </w:tc>
      </w:tr>
      <w:tr w14:paraId="45103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330F6C87">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sz w:val="24"/>
                <w:lang w:bidi="ar"/>
              </w:rPr>
              <w:t>阳台门下部芯板</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331091AB">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1.14</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32AF0215">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1.14</w:t>
            </w:r>
          </w:p>
        </w:tc>
      </w:tr>
      <w:tr w14:paraId="2425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4AC10D11">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非供暖地下室顶板（上部为供暖房间时）</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3CFFD416">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0.43</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7EA208FF">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0.43</w:t>
            </w:r>
          </w:p>
        </w:tc>
      </w:tr>
      <w:tr w14:paraId="0B5D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709F2027">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分隔供暖与非供暖空间的隔墙、楼板</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5BE650DC">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05F4B120">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r>
      <w:tr w14:paraId="0013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5C4EACB1">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分隔供暖与非供暖空间的户门</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3168ABEF">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394B2CC2">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r>
      <w:tr w14:paraId="5A6B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73F90F15">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分隔供暖设计温度温差大于5K的隔墙、楼板</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1FB8D044">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1A7B4BF2">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r>
      <w:tr w14:paraId="33E81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0EC073E3">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kern w:val="0"/>
                <w:sz w:val="24"/>
                <w:lang w:bidi="ar"/>
              </w:rPr>
              <w:t>围护结构部位</w:t>
            </w:r>
          </w:p>
        </w:tc>
        <w:tc>
          <w:tcPr>
            <w:tcW w:w="20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E1781D">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保温材料层热阻R</w:t>
            </w:r>
            <w:r>
              <w:rPr>
                <w:rFonts w:ascii="Times New Roman" w:hAnsi="Times New Roman" w:eastAsia="宋体" w:cs="Times New Roman"/>
                <w:snapToGrid w:val="0"/>
                <w:kern w:val="0"/>
                <w:sz w:val="24"/>
                <w:lang w:eastAsia="zh" w:bidi="ar"/>
              </w:rPr>
              <w:t>[(m</w:t>
            </w:r>
            <w:r>
              <w:rPr>
                <w:rFonts w:ascii="Times New Roman" w:hAnsi="Times New Roman" w:eastAsia="宋体" w:cs="Times New Roman"/>
                <w:snapToGrid w:val="0"/>
                <w:kern w:val="0"/>
                <w:sz w:val="24"/>
                <w:vertAlign w:val="superscript"/>
                <w:lang w:eastAsia="zh" w:bidi="ar"/>
              </w:rPr>
              <w:t>2</w:t>
            </w:r>
            <w:r>
              <w:rPr>
                <w:rFonts w:ascii="Times New Roman" w:hAnsi="Times New Roman" w:eastAsia="宋体" w:cs="Times New Roman"/>
                <w:snapToGrid w:val="0"/>
                <w:kern w:val="0"/>
                <w:sz w:val="24"/>
                <w:lang w:eastAsia="zh" w:bidi="ar"/>
              </w:rPr>
              <w:t>·K)/W]</w:t>
            </w:r>
          </w:p>
        </w:tc>
      </w:tr>
      <w:tr w14:paraId="15F8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2812839C">
            <w:pPr>
              <w:kinsoku w:val="0"/>
              <w:autoSpaceDE w:val="0"/>
              <w:adjustRightInd w:val="0"/>
              <w:spacing w:line="360" w:lineRule="auto"/>
              <w:jc w:val="center"/>
              <w:textAlignment w:val="baseline"/>
              <w:rPr>
                <w:rFonts w:ascii="Times New Roman" w:hAnsi="Times New Roman" w:eastAsia="宋体" w:cs="Times New Roman"/>
                <w:sz w:val="24"/>
              </w:rPr>
            </w:pPr>
            <w:bookmarkStart w:id="2" w:name="OLE_LINK3"/>
            <w:r>
              <w:rPr>
                <w:rFonts w:ascii="Times New Roman" w:hAnsi="Times New Roman" w:eastAsia="宋体" w:cs="Times New Roman"/>
                <w:snapToGrid w:val="0"/>
                <w:sz w:val="24"/>
                <w:lang w:bidi="ar"/>
              </w:rPr>
              <w:t>周边地面</w:t>
            </w:r>
            <w:bookmarkEnd w:id="2"/>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6969BDE0">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≥1</w:t>
            </w:r>
            <w:r>
              <w:rPr>
                <w:rFonts w:ascii="Times New Roman" w:hAnsi="Times New Roman" w:eastAsia="宋体" w:cs="Times New Roman"/>
                <w:snapToGrid w:val="0"/>
                <w:sz w:val="24"/>
                <w:lang w:bidi="ar"/>
              </w:rPr>
              <w:t>.89</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6086B261">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1.89</w:t>
            </w:r>
          </w:p>
        </w:tc>
      </w:tr>
      <w:tr w14:paraId="4B04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56DEEC4A">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地下室外墙（与土壤接触的外墙）</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58496F38">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2.1</w:t>
            </w:r>
            <w:r>
              <w:rPr>
                <w:rFonts w:ascii="Times New Roman" w:hAnsi="Times New Roman" w:eastAsia="宋体" w:cs="Times New Roman"/>
                <w:snapToGrid w:val="0"/>
                <w:sz w:val="24"/>
                <w:lang w:eastAsia="zh" w:bidi="ar"/>
              </w:rPr>
              <w:t>0</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41942E43">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2.1</w:t>
            </w:r>
            <w:r>
              <w:rPr>
                <w:rFonts w:ascii="Times New Roman" w:hAnsi="Times New Roman" w:eastAsia="宋体" w:cs="Times New Roman"/>
                <w:snapToGrid w:val="0"/>
                <w:sz w:val="24"/>
                <w:lang w:eastAsia="zh" w:bidi="ar"/>
              </w:rPr>
              <w:t>0</w:t>
            </w:r>
          </w:p>
        </w:tc>
      </w:tr>
    </w:tbl>
    <w:p w14:paraId="7B19BA36">
      <w:pPr>
        <w:kinsoku w:val="0"/>
        <w:autoSpaceDE w:val="0"/>
        <w:adjustRightInd w:val="0"/>
        <w:snapToGrid w:val="0"/>
        <w:spacing w:line="360" w:lineRule="auto"/>
        <w:textAlignment w:val="baseline"/>
        <w:rPr>
          <w:rFonts w:ascii="Times New Roman" w:hAnsi="Times New Roman" w:eastAsia="宋体" w:cs="Times New Roman"/>
          <w:b/>
          <w:bCs/>
          <w:snapToGrid w:val="0"/>
          <w:kern w:val="0"/>
          <w:sz w:val="24"/>
          <w:lang w:bidi="ar"/>
        </w:rPr>
      </w:pPr>
    </w:p>
    <w:p w14:paraId="5AE01EED">
      <w:pPr>
        <w:kinsoku w:val="0"/>
        <w:autoSpaceDE w:val="0"/>
        <w:adjustRightInd w:val="0"/>
        <w:spacing w:line="360" w:lineRule="auto"/>
        <w:jc w:val="center"/>
        <w:textAlignment w:val="baseline"/>
        <w:rPr>
          <w:rFonts w:ascii="Times New Roman" w:hAnsi="Times New Roman" w:eastAsia="宋体" w:cs="Times New Roman"/>
          <w:b/>
          <w:bCs/>
          <w:kern w:val="0"/>
          <w:sz w:val="24"/>
        </w:rPr>
      </w:pPr>
      <w:r>
        <w:rPr>
          <w:rFonts w:ascii="Times New Roman" w:hAnsi="Times New Roman" w:eastAsia="宋体" w:cs="Times New Roman"/>
          <w:b/>
          <w:bCs/>
          <w:snapToGrid w:val="0"/>
          <w:kern w:val="0"/>
          <w:sz w:val="24"/>
          <w:lang w:bidi="ar"/>
        </w:rPr>
        <w:t>表6.1.2-2 严寒C区住宅建筑透光围护结构热工性能参数限值</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2"/>
        <w:gridCol w:w="2130"/>
        <w:gridCol w:w="1234"/>
      </w:tblGrid>
      <w:tr w14:paraId="1D500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67D2A07">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外窗</w:t>
            </w:r>
          </w:p>
        </w:tc>
        <w:tc>
          <w:tcPr>
            <w:tcW w:w="202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13097C">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传热系数K</w:t>
            </w:r>
            <w:r>
              <w:rPr>
                <w:rFonts w:ascii="Times New Roman" w:hAnsi="Times New Roman" w:eastAsia="宋体" w:cs="Times New Roman"/>
                <w:snapToGrid w:val="0"/>
                <w:kern w:val="0"/>
                <w:sz w:val="24"/>
                <w:lang w:eastAsia="zh" w:bidi="ar"/>
              </w:rPr>
              <w:t>[W/m</w:t>
            </w:r>
            <w:r>
              <w:rPr>
                <w:rFonts w:ascii="Times New Roman" w:hAnsi="Times New Roman" w:eastAsia="宋体" w:cs="Times New Roman"/>
                <w:snapToGrid w:val="0"/>
                <w:kern w:val="0"/>
                <w:sz w:val="24"/>
                <w:vertAlign w:val="superscript"/>
                <w:lang w:eastAsia="zh" w:bidi="ar"/>
              </w:rPr>
              <w:t>2</w:t>
            </w:r>
            <w:r>
              <w:rPr>
                <w:rFonts w:ascii="Times New Roman" w:hAnsi="Times New Roman" w:eastAsia="宋体" w:cs="Times New Roman"/>
                <w:snapToGrid w:val="0"/>
                <w:kern w:val="0"/>
                <w:sz w:val="24"/>
                <w:lang w:eastAsia="zh" w:bidi="ar"/>
              </w:rPr>
              <w:t>·K]</w:t>
            </w:r>
          </w:p>
        </w:tc>
      </w:tr>
      <w:tr w14:paraId="266D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491E077">
            <w:pPr>
              <w:jc w:val="center"/>
              <w:rPr>
                <w:rFonts w:ascii="Times New Roman" w:hAnsi="Times New Roman" w:cs="Times New Roman"/>
                <w:sz w:val="24"/>
              </w:rPr>
            </w:pP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440A512C">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3层</w:t>
            </w:r>
          </w:p>
        </w:tc>
        <w:tc>
          <w:tcPr>
            <w:tcW w:w="743" w:type="pct"/>
            <w:tcBorders>
              <w:top w:val="single" w:color="auto" w:sz="4" w:space="0"/>
              <w:left w:val="single" w:color="auto" w:sz="4" w:space="0"/>
              <w:bottom w:val="single" w:color="auto" w:sz="4" w:space="0"/>
              <w:right w:val="single" w:color="auto" w:sz="4" w:space="0"/>
            </w:tcBorders>
            <w:shd w:val="clear" w:color="auto" w:fill="auto"/>
            <w:vAlign w:val="center"/>
          </w:tcPr>
          <w:p w14:paraId="1B5CB969">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仿宋" w:cs="Times New Roman"/>
                <w:snapToGrid w:val="0"/>
                <w:sz w:val="24"/>
                <w:lang w:eastAsia="zh" w:bidi="ar"/>
              </w:rPr>
              <w:t>＞</w:t>
            </w:r>
            <w:r>
              <w:rPr>
                <w:rFonts w:ascii="Times New Roman" w:hAnsi="Times New Roman" w:eastAsia="宋体" w:cs="Times New Roman"/>
                <w:snapToGrid w:val="0"/>
                <w:sz w:val="24"/>
                <w:lang w:bidi="ar"/>
              </w:rPr>
              <w:t>3层</w:t>
            </w:r>
          </w:p>
        </w:tc>
      </w:tr>
      <w:tr w14:paraId="675BB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tcBorders>
              <w:top w:val="single" w:color="auto" w:sz="4" w:space="0"/>
              <w:left w:val="single" w:color="auto" w:sz="4" w:space="0"/>
              <w:bottom w:val="single" w:color="auto" w:sz="4" w:space="0"/>
              <w:right w:val="single" w:color="auto" w:sz="4" w:space="0"/>
            </w:tcBorders>
            <w:shd w:val="clear" w:color="auto" w:fill="auto"/>
            <w:vAlign w:val="center"/>
          </w:tcPr>
          <w:p w14:paraId="7D5F05CE">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窗墙面积比</w:t>
            </w: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0.30</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43E352B0">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1.44</w:t>
            </w:r>
          </w:p>
        </w:tc>
        <w:tc>
          <w:tcPr>
            <w:tcW w:w="743" w:type="pct"/>
            <w:tcBorders>
              <w:top w:val="single" w:color="auto" w:sz="4" w:space="0"/>
              <w:left w:val="single" w:color="auto" w:sz="4" w:space="0"/>
              <w:bottom w:val="single" w:color="auto" w:sz="4" w:space="0"/>
              <w:right w:val="single" w:color="auto" w:sz="4" w:space="0"/>
            </w:tcBorders>
            <w:shd w:val="clear" w:color="auto" w:fill="auto"/>
            <w:vAlign w:val="center"/>
          </w:tcPr>
          <w:p w14:paraId="2696407F">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1.80</w:t>
            </w:r>
          </w:p>
        </w:tc>
      </w:tr>
      <w:tr w14:paraId="2FDF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tcBorders>
              <w:top w:val="single" w:color="auto" w:sz="4" w:space="0"/>
              <w:left w:val="single" w:color="auto" w:sz="4" w:space="0"/>
              <w:bottom w:val="single" w:color="auto" w:sz="4" w:space="0"/>
              <w:right w:val="single" w:color="auto" w:sz="4" w:space="0"/>
            </w:tcBorders>
            <w:shd w:val="clear" w:color="auto" w:fill="auto"/>
            <w:vAlign w:val="center"/>
          </w:tcPr>
          <w:p w14:paraId="0F565CF3">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0.30</w:t>
            </w:r>
            <w:r>
              <w:rPr>
                <w:rFonts w:ascii="Times New Roman" w:hAnsi="Times New Roman" w:eastAsia="仿宋" w:cs="Times New Roman"/>
                <w:snapToGrid w:val="0"/>
                <w:sz w:val="24"/>
                <w:lang w:eastAsia="zh" w:bidi="ar"/>
              </w:rPr>
              <w:t>＜</w:t>
            </w:r>
            <w:r>
              <w:rPr>
                <w:rFonts w:ascii="Times New Roman" w:hAnsi="Times New Roman" w:eastAsia="宋体" w:cs="Times New Roman"/>
                <w:snapToGrid w:val="0"/>
                <w:kern w:val="0"/>
                <w:sz w:val="24"/>
                <w:lang w:bidi="ar"/>
              </w:rPr>
              <w:t>窗墙面积比</w:t>
            </w: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0.45</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5615E9D8">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1.26</w:t>
            </w:r>
          </w:p>
        </w:tc>
        <w:tc>
          <w:tcPr>
            <w:tcW w:w="743" w:type="pct"/>
            <w:tcBorders>
              <w:top w:val="single" w:color="auto" w:sz="4" w:space="0"/>
              <w:left w:val="single" w:color="auto" w:sz="4" w:space="0"/>
              <w:bottom w:val="single" w:color="auto" w:sz="4" w:space="0"/>
              <w:right w:val="single" w:color="auto" w:sz="4" w:space="0"/>
            </w:tcBorders>
            <w:shd w:val="clear" w:color="auto" w:fill="auto"/>
            <w:vAlign w:val="center"/>
          </w:tcPr>
          <w:p w14:paraId="0BA58E4E">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1.62</w:t>
            </w:r>
          </w:p>
        </w:tc>
      </w:tr>
      <w:tr w14:paraId="2162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tcBorders>
              <w:top w:val="single" w:color="auto" w:sz="4" w:space="0"/>
              <w:left w:val="single" w:color="auto" w:sz="4" w:space="0"/>
              <w:bottom w:val="single" w:color="auto" w:sz="4" w:space="0"/>
              <w:right w:val="single" w:color="auto" w:sz="4" w:space="0"/>
            </w:tcBorders>
            <w:shd w:val="clear" w:color="auto" w:fill="auto"/>
            <w:vAlign w:val="center"/>
          </w:tcPr>
          <w:p w14:paraId="5E0F0B3A">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天窗</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1646CDEE">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1.44</w:t>
            </w:r>
          </w:p>
        </w:tc>
        <w:tc>
          <w:tcPr>
            <w:tcW w:w="743" w:type="pct"/>
            <w:tcBorders>
              <w:top w:val="single" w:color="auto" w:sz="4" w:space="0"/>
              <w:left w:val="single" w:color="auto" w:sz="4" w:space="0"/>
              <w:bottom w:val="single" w:color="auto" w:sz="4" w:space="0"/>
              <w:right w:val="single" w:color="auto" w:sz="4" w:space="0"/>
            </w:tcBorders>
            <w:shd w:val="clear" w:color="auto" w:fill="auto"/>
            <w:vAlign w:val="center"/>
          </w:tcPr>
          <w:p w14:paraId="208AD411">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1.44</w:t>
            </w:r>
          </w:p>
        </w:tc>
      </w:tr>
    </w:tbl>
    <w:p w14:paraId="45810B1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6.1.3 应合理设定低碳目标和路径，进行全生命周期碳排放计算，根据计算分析结果采取降低单位建筑面积碳排放强度的措施，在设计文件中编制碳排放专篇；场地设计应开展海绵城市设计，同时编制海绵城市专篇。</w:t>
      </w:r>
    </w:p>
    <w:p w14:paraId="7D8AB7D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6.1.4 绿色建材应用比例不低于40%。</w:t>
      </w:r>
    </w:p>
    <w:p w14:paraId="117838E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6.1.5 主体结构应合理采用高强度、高性能材料。混凝土结构中梁、柱、墙纵向受力普通钢筋和楼板应采用400MPa级及以上热轧带肋钢筋，应采用预拌混凝土和预拌砂浆；钢结构建筑中，宜采用高性能建筑结构用钢，钢材牌号Q355级及以上钢材占比不低于50%。</w:t>
      </w:r>
    </w:p>
    <w:p w14:paraId="6A46C69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6.1.6 内隔墙采用轻质墙体，可采用蒸压加气混凝土砌块、条板隔墙、模块化隔墙或其他干式工法施工的装配式内隔墙系统的建造方式。</w:t>
      </w:r>
    </w:p>
    <w:p w14:paraId="510976F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6.1.7 应采取有效措施降低暖通空调系统的末端系统及输配系统的能耗：</w:t>
      </w:r>
    </w:p>
    <w:p w14:paraId="0DAA1E13">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通风空调系统风机的单位风量耗功率比现行国家标准《公共建筑节能设计标准》GB50189的规定低20%；</w:t>
      </w:r>
    </w:p>
    <w:p w14:paraId="422A09DB">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集中供暖系统热水循环泵的耗电输热比、空调冷热水系统循环水泵的耗电输冷（热）比比现行国家标准《民用建筑供暖通风与空气调节设计规范》GB50736规定值低20%。</w:t>
      </w:r>
    </w:p>
    <w:p w14:paraId="56D6D2F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6.1.8 小区应设置能源管理系统，应在满足水、电、燃气等进行分户、分项计量的基础上，采用远程计量系统。</w:t>
      </w:r>
    </w:p>
    <w:p w14:paraId="46423DC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6.1.9 小区公共区照明、电梯用电、生活水泵、电热风幕、物业用电、小区活动室、小区食堂、应急照明等用电应独立计量。</w:t>
      </w:r>
    </w:p>
    <w:p w14:paraId="75AA9F7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6.1.10 2台及2台以上电梯集中排列时，应采取群控、变频调速或能量反馈等节能措施。</w:t>
      </w:r>
    </w:p>
    <w:p w14:paraId="7B694CD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6.1.11 应采用节能型电气设备及节能控制措施：</w:t>
      </w:r>
    </w:p>
    <w:p w14:paraId="37F4490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主要功能房间的照明功率密度值达到现行国家标准《建筑照明设计标准》GB/T50034规定的目标值；</w:t>
      </w:r>
    </w:p>
    <w:p w14:paraId="0DD9B1FF">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照明产品、电力变压器、水泵、风机等设备满足国家现行有关标准的能效等级2级要求。</w:t>
      </w:r>
    </w:p>
    <w:p w14:paraId="7DFCB39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6.1.12 用水器具和设备应满足现行国家标准《节水型产品通用技术条件》GB/T18870的有关要求；节水器具水效等级应达到2级。</w:t>
      </w:r>
    </w:p>
    <w:p w14:paraId="74A8BDC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6.1.13 应结合</w:t>
      </w:r>
      <w:r>
        <w:rPr>
          <w:rFonts w:hint="eastAsia" w:ascii="Times New Roman" w:hAnsi="Times New Roman" w:eastAsia="仿宋_GB2312" w:cs="Times New Roman"/>
          <w:color w:val="000000"/>
          <w:kern w:val="0"/>
          <w:sz w:val="32"/>
          <w:szCs w:val="32"/>
          <w:shd w:val="clear" w:color="auto" w:fill="FFFFFF"/>
          <w:lang w:bidi="ar"/>
        </w:rPr>
        <w:t>阜新</w:t>
      </w:r>
      <w:r>
        <w:rPr>
          <w:rFonts w:ascii="Times New Roman" w:hAnsi="Times New Roman" w:eastAsia="仿宋_GB2312" w:cs="Times New Roman"/>
          <w:color w:val="000000"/>
          <w:kern w:val="0"/>
          <w:sz w:val="32"/>
          <w:szCs w:val="32"/>
          <w:shd w:val="clear" w:color="auto" w:fill="FFFFFF"/>
          <w:lang w:bidi="ar"/>
        </w:rPr>
        <w:t>市气候和自然资源条件合理利用可再生能源，新建建筑应安装太阳能系统，如太阳能热利用系统或光伏发电系统等。</w:t>
      </w:r>
    </w:p>
    <w:p w14:paraId="578AB484">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6.2 提升项</w:t>
      </w:r>
    </w:p>
    <w:p w14:paraId="08E7E6F5">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降碳节能</w:t>
      </w:r>
    </w:p>
    <w:p w14:paraId="2A81725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 住宅外门窗抗风压性能、气密性、水密性应符合国家现行有关标准的规定。外窗气密性能不低于8级，外门及分隔供暖与非供暖空间的户门气密性能不低于6级；门窗洞口与墙体节点设置防水透气膜和隔汽膜。</w:t>
      </w:r>
    </w:p>
    <w:p w14:paraId="7876A5A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6.2.2外窗应采用节能型附框干法安装。外墙或窗口的保温层应完全覆盖附框和部分窗框，外门框、窗框或附框与墙体之间的缝隙应采用高效保温材料填塞密实并做好密封防水处理。</w:t>
      </w:r>
    </w:p>
    <w:p w14:paraId="0072E12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6.2.3 围护结构气密层应连续并包围整个外围护结构，围护结构洞口、电线盒、管线贯穿处等易发生气密性问题的部位应进行气密性专项设计。</w:t>
      </w:r>
    </w:p>
    <w:p w14:paraId="300B97F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6.2.4 场地海绵城市设计雨水系统应采取雨水管断接并引至地面生态设施；结合景观场地竖向设计，合理规划地表径流，合理布置海绵生态设施，使雨水有组织汇入雨水控制与利用设施；对符合透水条件的人行道、非机动车道及广场等应设置透水铺装地面；道路、广场及建筑物周边的绿地，宜采用下凹式绿地、雨水花园、生物滞留设施、植草沟等具备雨水调蓄功能的绿化方式。</w:t>
      </w:r>
    </w:p>
    <w:p w14:paraId="1D58B86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6.2.5 应分质供水，充分利用非传统水源，并应符合下列规定：</w:t>
      </w:r>
    </w:p>
    <w:p w14:paraId="2D293D8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未在市政再生水管网覆盖范围内的项目，应设置雨水或中水回用系统；</w:t>
      </w:r>
    </w:p>
    <w:p w14:paraId="038A759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冲厕、绿化灌溉、车库及道路冲洗、室外景观水体补水、洗车用水均应采用非传统水源。</w:t>
      </w:r>
    </w:p>
    <w:p w14:paraId="4D17B8C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6.2.6 绿化灌溉在节水灌溉的基础上，宜采用喷灌、微灌等节水技术，设置土壤湿度感应器、雨天自动关闭装置等节水控制措施，并宜采取夜间灌溉的节水灌溉制度。</w:t>
      </w:r>
    </w:p>
    <w:p w14:paraId="4F0C8D8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6.2.7 宜采用光伏发电作为补充电力能源，当采用光伏发电技术时，宜采用直流供配电系统。</w:t>
      </w:r>
    </w:p>
    <w:p w14:paraId="0171E3B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6.2.8 节水器具水效等级宜达到1级；涉水类家用电器如洗衣机、洗碗机、净水机等应采用节水型设备。</w:t>
      </w:r>
    </w:p>
    <w:p w14:paraId="786C173F">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低碳建造</w:t>
      </w:r>
    </w:p>
    <w:p w14:paraId="0132D0E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6.2.9 应就近取材，总重量70%的建筑材料运输距离不应超过500km。</w:t>
      </w:r>
    </w:p>
    <w:p w14:paraId="236A709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6.2.10 住宅建筑优先选用绿色和可再利用材料及利废建材，绿色建材应用比例不低于50%，可循环材料比例不低于10%；采用装配式混凝土结构、钢结构等低碳结构体系和装配式部品部件，外墙保温系统应采用保温结构一体化技术。</w:t>
      </w:r>
    </w:p>
    <w:p w14:paraId="5428B18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6.2.11 住宅建筑宜采用装配式装修，宜采用集成式厨房、集成式卫生间等集成部品，并进行管线分离设计、生产、安装一体化的工程做法。装修部品应采用通用性和互换性的标准化接口。采用集成厨房和集成卫生间的数量比例不宜低于90%。集成厨房中橱柜、设备，集成卫生间中洁具设备等应全部安装到位，且地面、墙面、吊顶等采用干式工法的应用比例不低于90%。</w:t>
      </w:r>
    </w:p>
    <w:p w14:paraId="5721C4F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6.2.12 住宅套内给水、供暖、电气管线采用设备管线与主体结构分离技术，管线分离应用比例大于50%，便于业主在不损伤住宅主体结构的前提下，进行线路改造或维修更换。</w:t>
      </w:r>
    </w:p>
    <w:p w14:paraId="013D132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6.2.13 采用光伏发电作为补充电力能源，优先采用直流供配电系统。</w:t>
      </w:r>
    </w:p>
    <w:p w14:paraId="451A7D35">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7 智慧便捷</w:t>
      </w:r>
    </w:p>
    <w:p w14:paraId="36AE735E">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7.1 控制项</w:t>
      </w:r>
    </w:p>
    <w:p w14:paraId="501B93D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7.1.1 小区主要出入口、单元门厅附近设置智能信报箱、快递柜，并预留电源。</w:t>
      </w:r>
    </w:p>
    <w:p w14:paraId="6350466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7.1.2 安防系统应符合下列规定：</w:t>
      </w:r>
    </w:p>
    <w:p w14:paraId="1C17A4E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1.公共区域应设置视频监控设备，老年及儿童活动场地应实现无死角监控，监控数据保留期限大于30天；</w:t>
      </w:r>
    </w:p>
    <w:p w14:paraId="4835ECE4">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2.小区出入口、单元门设置门禁系统，支持一卡通、指纹或人脸识别；</w:t>
      </w:r>
    </w:p>
    <w:p w14:paraId="77D00CF9">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3.应设置电子巡更系统，设置周界摄像机或电子围栏等防护设施。</w:t>
      </w:r>
    </w:p>
    <w:p w14:paraId="74BC76F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7.1.3 单元入口设置智能监测设备，防止电动自行车、液化气罐等易燃易爆品进入。</w:t>
      </w:r>
    </w:p>
    <w:p w14:paraId="166F003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7.1.4 小区地上地下应网络全覆盖，有无线网络需求的公共场所无线网络信号覆盖率100%；移动信号应全覆盖，数字电视网络应支撑小区全接入；信号强度满足通信相关技术要求。</w:t>
      </w:r>
    </w:p>
    <w:p w14:paraId="4BB7A4E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7.1.5 户内单独设置入户多媒体集线箱和智能家居控制箱，应独立供电，支持用户不少于3家运营商的选择，内置智能家居控制网关或预留安装条件，户内布线等级应满足语音、数据、视频等使用需求。</w:t>
      </w:r>
    </w:p>
    <w:p w14:paraId="056639E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7.1.6 应设置智慧住宅综合服务管理平台，通过开放的标准协议接口，实现各类系统数据互通和服务资源接入。</w:t>
      </w:r>
    </w:p>
    <w:p w14:paraId="030225B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7.1.7 小区应在高空坠物风险区域设置防高空抛物视频监控。</w:t>
      </w:r>
    </w:p>
    <w:p w14:paraId="677C6822">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7.2 提升项</w:t>
      </w:r>
    </w:p>
    <w:p w14:paraId="62E8C920">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数字家庭</w:t>
      </w:r>
    </w:p>
    <w:p w14:paraId="77031DA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7.2.1 精装修住宅配置智能家居系统，接入照明、插座、家电等设备，实现智能控制。</w:t>
      </w:r>
    </w:p>
    <w:p w14:paraId="18EFE3B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7.2.2 智能家居系统配置智能中控屏，应集成光纤到户、有线电视、无线Wi-Fi、智能门锁、访客对讲、入侵报警、智能照明、智能互联、一键报警求助等功能。宜包含视频监控、家电监控、多媒体娱乐、环境监测、智能医护等。</w:t>
      </w:r>
    </w:p>
    <w:p w14:paraId="122AF2B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7.2.3 住宅外窗配备自动感应器，可连接智能家居、实现雨天可自动关窗等功能，支持手机APP远程控制。</w:t>
      </w:r>
    </w:p>
    <w:p w14:paraId="0AEDFFC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7.2.4 数字家庭系统具备数据安全保护措施，支持本地操作和远程控制，且外部网络故障不影响本地操作。</w:t>
      </w:r>
    </w:p>
    <w:p w14:paraId="5A7F6AF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7.2.5卧室至卫生间的走道墙面距地0.4m处宜设感应式嵌装脚灯。</w:t>
      </w:r>
    </w:p>
    <w:p w14:paraId="05697789">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智慧运维</w:t>
      </w:r>
    </w:p>
    <w:p w14:paraId="0DDB6C0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7.2.6 物业服务依托智慧物业管理服务平台，通过互联网和手机APP实现人行、车行、安防、资产管理、设备运维、生活缴费、网上报修等智能化管理，提升物业服务效率。</w:t>
      </w:r>
    </w:p>
    <w:p w14:paraId="36818F6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7.2.7 电梯应设置梯控系统，控制访客进入，并应与手机 APP、户内智能控制联动。</w:t>
      </w:r>
    </w:p>
    <w:p w14:paraId="650D4D3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7.2.8 小区显著位置应设置显示屏，推送业主群公告、空气质量、温度、气象灾害预警等信息。</w:t>
      </w:r>
    </w:p>
    <w:p w14:paraId="493544F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7.2.9 引入自助洗车装置、无人售货机等智能自助生活设施。</w:t>
      </w:r>
    </w:p>
    <w:p w14:paraId="4B663873">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Ⅲ 智慧服务</w:t>
      </w:r>
    </w:p>
    <w:p w14:paraId="0CD2418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7.2.10 宜设置小区智慧物业综合服务平台，将小区管理、业主（租户）管理、来访管理、设施运维、小区安防、故障报修、装修申请、数字家庭、通知公告、投诉建议等功能进行整合，实现统一管理。可拓展家政服务、缴费管理、养老服务、电子商城等功能。</w:t>
      </w:r>
    </w:p>
    <w:p w14:paraId="0A5647E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7.2.11 小区智慧物业综合服务平台应采取网络隔离、防火墙等安全措施，保障信息和隐私安全；具备灾害事故预警功能，与上级应急指挥系统互联互通。</w:t>
      </w:r>
    </w:p>
    <w:p w14:paraId="4A6EBA3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7.2.12 设置防灾预警系统，包含可燃气体自动报警、消防感温感烟探测等功能，将报警信息推送至智能家居控制中心或物业中心。同时具备消防疏散通道、消防车道监测预警功能。</w:t>
      </w:r>
    </w:p>
    <w:p w14:paraId="2922C938">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 xml:space="preserve">8 </w:t>
      </w:r>
      <w:r>
        <w:rPr>
          <w:rFonts w:hint="eastAsia" w:ascii="Times New Roman" w:hAnsi="Times New Roman" w:eastAsia="黑体" w:cs="Times New Roman"/>
          <w:color w:val="000000"/>
          <w:kern w:val="0"/>
          <w:sz w:val="44"/>
          <w:szCs w:val="44"/>
          <w:shd w:val="clear" w:color="auto" w:fill="FFFFFF"/>
          <w:lang w:bidi="ar"/>
        </w:rPr>
        <w:t>服务管理</w:t>
      </w:r>
    </w:p>
    <w:p w14:paraId="23655D89">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8.1 控制项</w:t>
      </w:r>
    </w:p>
    <w:p w14:paraId="2DC63C1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8.1.1 小区交付后，物业服务标准不低于《物业服务合同》约定，包含房屋及设施设备维护、环境维护、24h秩序维护等内容；每年至少开展一次物业服务满意度调查。</w:t>
      </w:r>
    </w:p>
    <w:p w14:paraId="33FD747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8.1.2 建设单位在物业管理区域内设立房屋售后服务中心，公示维保单位信息，承担物业保修责任。</w:t>
      </w:r>
    </w:p>
    <w:p w14:paraId="107152B2">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8.2 提升项</w:t>
      </w:r>
    </w:p>
    <w:p w14:paraId="1931771A">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邻里和谐</w:t>
      </w:r>
    </w:p>
    <w:p w14:paraId="2143873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8.2.1 每年定期组织业主互动活动：开展1次及以上安全应急演习，1次及以上健康生活或文化艺术类社区活动，1次及以上物业与业主代表交流座谈活动；开展针对老年人群的健康文化活动。</w:t>
      </w:r>
    </w:p>
    <w:p w14:paraId="297A112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8.2.2 引导低碳生活方式，建立绿色低碳教育宣传机制，编制绿色低碳生活手册；定期检测小区污染物、噪声等指标并公示。</w:t>
      </w:r>
    </w:p>
    <w:p w14:paraId="656A255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8.2.3 设置专门的宠物友好空间，配备清晰标识、适合宠物活动的地面材料及排泄物收集设施。</w:t>
      </w:r>
    </w:p>
    <w:p w14:paraId="4CD21552">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品质管理</w:t>
      </w:r>
    </w:p>
    <w:p w14:paraId="66B08EF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8.2.4 建立住宅专项维修资金和社会资金制度，设立房屋定期体检制度和常态化体检工作机制。</w:t>
      </w:r>
    </w:p>
    <w:p w14:paraId="7225437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8.2.5 物业服务实行管家制，每个管家服务业主不超过300户，对接率不低于实际住用户数的98%；提供工作日12小时、节假日8小时专人接待服务，24小时值班受理。</w:t>
      </w:r>
    </w:p>
    <w:p w14:paraId="1443978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8.2.6 住宅小区交付时，建设单位向物业服务单位及购房者提供完善的住宅使用手册，包含平面布置、结构、设备、管线、装修清单及产品使用说明书等内容。</w:t>
      </w:r>
    </w:p>
    <w:p w14:paraId="0AE56B8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8.2.7 制定完善的垃圾管理制度，生活废弃物分类收集，每日清运不少于1次，根据垃圾产生量动态调整清运频率。</w:t>
      </w:r>
    </w:p>
    <w:p w14:paraId="6DB2913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8.2.8突发事件应急预案、年度实施管理计划应完备。</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BF803">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EDD812">
                          <w:pPr>
                            <w:pStyle w:val="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AEDD812">
                    <w:pPr>
                      <w:pStyle w:val="2"/>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A7440">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1D6F32">
                          <w:pPr>
                            <w:pStyle w:val="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B1D6F32">
                    <w:pPr>
                      <w:pStyle w:val="2"/>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E44"/>
    <w:rsid w:val="000E2A64"/>
    <w:rsid w:val="00360E44"/>
    <w:rsid w:val="0048711A"/>
    <w:rsid w:val="005A5982"/>
    <w:rsid w:val="008D6D57"/>
    <w:rsid w:val="02CD5EE7"/>
    <w:rsid w:val="1C876837"/>
    <w:rsid w:val="3E981275"/>
    <w:rsid w:val="42364826"/>
    <w:rsid w:val="528D7F54"/>
    <w:rsid w:val="5CCB274E"/>
    <w:rsid w:val="6A3676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5">
    <w:name w:val="Table Grid"/>
    <w:basedOn w:val="4"/>
    <w:qFormat/>
    <w:uiPriority w:val="0"/>
    <w:pPr>
      <w:widowControl w:val="0"/>
      <w:jc w:val="both"/>
    </w:pPr>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64a5d91c-f7c4-4795-adea-47ee51c1df6d</errorID>
      <errorWord>安全、舒适、绿色、智慧的“好房子”</errorWord>
      <group>L1_Political</group>
      <groupName>政治性问题</groupName>
      <ability>L2_Keyword</ability>
      <abilityName>固定表述</abilityName>
      <candidateList>
        <item>安全舒适绿色智慧的“好房子”</item>
      </candidateList>
      <explain>注意检查当前固定表述标点是否使用规范。</explain>
      <paraID>72FB5360</paraID>
      <start>23</start>
      <end>40</end>
      <status>unmodified</status>
      <modifiedWord/>
      <trackRevisions>false</trackRevisions>
    </reviewItem>
    <reviewItem>
      <errorID>48a0db36-b1fa-499f-b963-50f65a85c718</errorID>
      <errorWord>安全、舒适、绿色、智慧的“好房子”</errorWord>
      <group>L1_Political</group>
      <groupName>政治性问题</groupName>
      <ability>L2_Keyword</ability>
      <abilityName>固定表述</abilityName>
      <candidateList>
        <item>安全舒适绿色智慧的“好房子”</item>
      </candidateList>
      <explain>注意检查当前固定表述标点是否使用规范。</explain>
      <paraID>354B8CBE</paraID>
      <start>32</start>
      <end>49</end>
      <status>unmodified</status>
      <modifiedWord/>
      <trackRevisions>false</trackRevisions>
    </reviewItem>
    <reviewItem>
      <errorID>81719a29-1ab9-4aff-a44c-4c2349433863</errorID>
      <errorWord>具具备</errorWord>
      <group>L1_Word</group>
      <groupName>字词问题</groupName>
      <ability>L2_Typo</ability>
      <abilityName>字词错误</abilityName>
      <candidateList>
        <item>具备</item>
      </candidateList>
      <explain/>
      <paraID>2941E4AE</paraID>
      <start>78</start>
      <end>81</end>
      <status>ignored</status>
      <modifiedWord/>
      <trackRevisions>false</trackRevisions>
    </reviewItem>
    <reviewItem>
      <errorID>af009238-5ed6-406f-85d8-c1d14ac01b5c</errorID>
      <errorWord>防返</errorWord>
      <group>L1_Word</group>
      <groupName>字词问题</groupName>
      <ability>L2_Typo</ability>
      <abilityName>字词错误</abilityName>
      <candidateList>
        <item>防反</item>
      </candidateList>
      <explain>存在发音相同字词的误用。</explain>
      <paraID>4BF84B0B</paraID>
      <start>82</start>
      <end>84</end>
      <status>unmodified</status>
      <modifiedWord/>
      <trackRevisions>false</trackRevisions>
    </reviewItem>
    <reviewItem>
      <errorID>12afda5b-97b1-42d4-8203-6615edee1dad</errorID>
      <errorWord>平急两用</errorWord>
      <group>L1_Political</group>
      <groupName>政治性问题</groupName>
      <ability>L2_Keyword</ability>
      <abilityName>固定表述</abilityName>
      <candidateList>
        <item>“平急两用”</item>
      </candidateList>
      <explain>注意检查当前固定表述标点是否使用规范。</explain>
      <paraID>29E1B0BC</paraID>
      <start>35</start>
      <end>39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592039-a4bc-4adc-b0d1-abce16e6b7e2}">
  <ds:schemaRefs/>
</ds:datastoreItem>
</file>

<file path=docProps/app.xml><?xml version="1.0" encoding="utf-8"?>
<Properties xmlns="http://schemas.openxmlformats.org/officeDocument/2006/extended-properties" xmlns:vt="http://schemas.openxmlformats.org/officeDocument/2006/docPropsVTypes">
  <Template>Normal</Template>
  <Pages>31</Pages>
  <Words>12870</Words>
  <Characters>14552</Characters>
  <Lines>107</Lines>
  <Paragraphs>30</Paragraphs>
  <TotalTime>26</TotalTime>
  <ScaleCrop>false</ScaleCrop>
  <LinksUpToDate>false</LinksUpToDate>
  <CharactersWithSpaces>14775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2025-11-22T09:50:00Z</dcterms:created>
  <dc:creator>凉风</dc:creator>
  <cp:lastModifiedBy>凉风伍不乐</cp:lastModifiedBy>
  <cp:lastPrinted>2026-06-17T06:12:00Z</cp:lastPrinted>
  <dcterms:modified xsi:type="dcterms:W3CDTF">2026-06-17T07:54:49Z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eyJoZGlkIjoiNmE2MTdmMTc4MjkyNTY5OGU2MDFjN2JlNzBkODJjNWUiLCJ1c2VySWQiOiI2NTE3ODEzNjEifQ==</vt:lpwstr>
  </property>
  <property fmtid="{D5CDD505-2E9C-101B-9397-08002B2CF9AE}" pid="4" name="ICV">
    <vt:lpwstr>4E6A72ACDC8D45EABFC624264C509048_12</vt:lpwstr>
  </property>
</Properties>
</file>